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241AF" w14:textId="77777777" w:rsidR="007462F0" w:rsidRDefault="009A2A4C">
      <w:pPr>
        <w:jc w:val="center"/>
        <w:rPr>
          <w:rFonts w:ascii="Gadugi" w:eastAsia="Gadugi" w:hAnsi="Gadugi" w:cs="Gadugi"/>
          <w:b/>
        </w:rPr>
      </w:pPr>
      <w:bookmarkStart w:id="0" w:name="_heading=h.gjdgxs" w:colFirst="0" w:colLast="0"/>
      <w:bookmarkEnd w:id="0"/>
      <w:r>
        <w:rPr>
          <w:rFonts w:ascii="Gadugi" w:eastAsia="Gadugi" w:hAnsi="Gadugi" w:cs="Gadugi"/>
          <w:b/>
        </w:rPr>
        <w:t>“CONTRATAR LOS AJUSTES DE INGENIERÍA BÁSICA Y DETALLADA DE LOS DISEÑOS DE LA NUEVA CENTRAL DE GENERACIÓN DIÉSEL – CGD, EN EL MUNICIPIO DE BAHÍA SOLANO”</w:t>
      </w:r>
    </w:p>
    <w:p w14:paraId="6F7EB954" w14:textId="77777777" w:rsidR="007462F0" w:rsidRDefault="007462F0">
      <w:pPr>
        <w:rPr>
          <w:rFonts w:ascii="Gadugi" w:eastAsia="Gadugi" w:hAnsi="Gadugi" w:cs="Gadugi"/>
          <w:b/>
          <w:color w:val="000000"/>
        </w:rPr>
      </w:pPr>
    </w:p>
    <w:p w14:paraId="6B98B4CA" w14:textId="77777777" w:rsidR="007462F0" w:rsidRDefault="009A2A4C">
      <w:pPr>
        <w:jc w:val="center"/>
        <w:rPr>
          <w:rFonts w:ascii="Gadugi" w:eastAsia="Gadugi" w:hAnsi="Gadugi" w:cs="Gadugi"/>
          <w:b/>
          <w:color w:val="000000"/>
        </w:rPr>
      </w:pPr>
      <w:r>
        <w:rPr>
          <w:rFonts w:ascii="Gadugi" w:eastAsia="Gadugi" w:hAnsi="Gadugi" w:cs="Gadugi"/>
          <w:b/>
          <w:color w:val="000000"/>
        </w:rPr>
        <w:t>ANEXO 3</w:t>
      </w:r>
    </w:p>
    <w:p w14:paraId="5C5C8B2A" w14:textId="77777777" w:rsidR="007462F0" w:rsidRDefault="009A2A4C">
      <w:pPr>
        <w:jc w:val="center"/>
        <w:rPr>
          <w:rFonts w:ascii="Gadugi" w:eastAsia="Gadugi" w:hAnsi="Gadugi" w:cs="Gadugi"/>
          <w:b/>
          <w:color w:val="000000"/>
        </w:rPr>
      </w:pPr>
      <w:r>
        <w:rPr>
          <w:rFonts w:ascii="Gadugi" w:eastAsia="Gadugi" w:hAnsi="Gadugi" w:cs="Gadugi"/>
          <w:b/>
          <w:color w:val="000000"/>
        </w:rPr>
        <w:t xml:space="preserve">ESPECIFICACIONES GENERALES DE EQUIPOS </w:t>
      </w:r>
    </w:p>
    <w:p w14:paraId="6553A5BE" w14:textId="77777777" w:rsidR="007462F0" w:rsidRDefault="007462F0">
      <w:pPr>
        <w:jc w:val="center"/>
        <w:rPr>
          <w:rFonts w:ascii="Gadugi" w:eastAsia="Gadugi" w:hAnsi="Gadugi" w:cs="Gadugi"/>
          <w:b/>
          <w:color w:val="000000"/>
        </w:rPr>
      </w:pPr>
    </w:p>
    <w:p w14:paraId="550A61E8" w14:textId="77777777" w:rsidR="007462F0" w:rsidRDefault="009A2A4C">
      <w:pPr>
        <w:jc w:val="center"/>
        <w:rPr>
          <w:rFonts w:ascii="Gadugi" w:eastAsia="Gadugi" w:hAnsi="Gadugi" w:cs="Gadugi"/>
          <w:b/>
        </w:rPr>
      </w:pPr>
      <w:r>
        <w:rPr>
          <w:rFonts w:ascii="Gadugi" w:eastAsia="Gadugi" w:hAnsi="Gadugi" w:cs="Gadugi"/>
          <w:b/>
        </w:rPr>
        <w:t>INGENIERÍA Y DISEÑO DE OCCIDENTE SAS</w:t>
      </w:r>
    </w:p>
    <w:p w14:paraId="0A5AF31A" w14:textId="77777777" w:rsidR="007462F0" w:rsidRDefault="009A2A4C">
      <w:pPr>
        <w:jc w:val="center"/>
        <w:rPr>
          <w:rFonts w:ascii="Gadugi" w:eastAsia="Gadugi" w:hAnsi="Gadugi" w:cs="Gadugi"/>
          <w:b/>
          <w:color w:val="000000"/>
        </w:rPr>
      </w:pPr>
      <w:r>
        <w:rPr>
          <w:rFonts w:ascii="Gadugi" w:eastAsia="Gadugi" w:hAnsi="Gadugi" w:cs="Gadugi"/>
          <w:b/>
          <w:noProof/>
        </w:rPr>
        <w:drawing>
          <wp:inline distT="0" distB="0" distL="0" distR="0" wp14:anchorId="5406CC01" wp14:editId="23CD14A3">
            <wp:extent cx="1974054" cy="1293258"/>
            <wp:effectExtent l="0" t="0" r="0" b="0"/>
            <wp:docPr id="2110191438" name="image4.jpg" descr="\\192.168.0.200\Proyectos 2022\04. AEROCAFE\logo I&amp;D (1).jpg"/>
            <wp:cNvGraphicFramePr/>
            <a:graphic xmlns:a="http://schemas.openxmlformats.org/drawingml/2006/main">
              <a:graphicData uri="http://schemas.openxmlformats.org/drawingml/2006/picture">
                <pic:pic xmlns:pic="http://schemas.openxmlformats.org/drawingml/2006/picture">
                  <pic:nvPicPr>
                    <pic:cNvPr id="0" name="image4.jpg" descr="\\192.168.0.200\Proyectos 2022\04. AEROCAFE\logo I&amp;D (1).jpg"/>
                    <pic:cNvPicPr preferRelativeResize="0"/>
                  </pic:nvPicPr>
                  <pic:blipFill>
                    <a:blip r:embed="rId9"/>
                    <a:srcRect t="10518" b="10586"/>
                    <a:stretch>
                      <a:fillRect/>
                    </a:stretch>
                  </pic:blipFill>
                  <pic:spPr>
                    <a:xfrm>
                      <a:off x="0" y="0"/>
                      <a:ext cx="1974054" cy="1293258"/>
                    </a:xfrm>
                    <a:prstGeom prst="rect">
                      <a:avLst/>
                    </a:prstGeom>
                    <a:ln/>
                  </pic:spPr>
                </pic:pic>
              </a:graphicData>
            </a:graphic>
          </wp:inline>
        </w:drawing>
      </w:r>
    </w:p>
    <w:p w14:paraId="5E2CDC8C" w14:textId="77777777" w:rsidR="007462F0" w:rsidRDefault="007462F0">
      <w:pPr>
        <w:jc w:val="center"/>
        <w:rPr>
          <w:rFonts w:ascii="Gadugi" w:eastAsia="Gadugi" w:hAnsi="Gadugi" w:cs="Gadugi"/>
          <w:b/>
          <w:color w:val="000000"/>
        </w:rPr>
      </w:pPr>
    </w:p>
    <w:p w14:paraId="7A15D839" w14:textId="77777777" w:rsidR="007462F0" w:rsidRDefault="009A2A4C">
      <w:pPr>
        <w:spacing w:after="0"/>
        <w:jc w:val="center"/>
        <w:rPr>
          <w:rFonts w:ascii="Gadugi" w:eastAsia="Gadugi" w:hAnsi="Gadugi" w:cs="Gadugi"/>
          <w:b/>
        </w:rPr>
      </w:pPr>
      <w:r>
        <w:rPr>
          <w:rFonts w:ascii="Gadugi" w:eastAsia="Gadugi" w:hAnsi="Gadugi" w:cs="Gadugi"/>
          <w:b/>
        </w:rPr>
        <w:t>DIRECTOR DE PROYECTO</w:t>
      </w:r>
    </w:p>
    <w:p w14:paraId="3314FC18" w14:textId="77777777" w:rsidR="007462F0" w:rsidRDefault="007462F0">
      <w:pPr>
        <w:spacing w:after="0"/>
        <w:rPr>
          <w:rFonts w:ascii="Gadugi" w:eastAsia="Gadugi" w:hAnsi="Gadugi" w:cs="Gadugi"/>
          <w:b/>
        </w:rPr>
      </w:pPr>
    </w:p>
    <w:p w14:paraId="4717E216" w14:textId="77777777" w:rsidR="007462F0" w:rsidRDefault="007462F0">
      <w:pPr>
        <w:spacing w:after="0"/>
        <w:rPr>
          <w:rFonts w:ascii="Gadugi" w:eastAsia="Gadugi" w:hAnsi="Gadugi" w:cs="Gadugi"/>
          <w:b/>
        </w:rPr>
      </w:pPr>
    </w:p>
    <w:p w14:paraId="7A4936C3" w14:textId="77777777" w:rsidR="007462F0" w:rsidRDefault="009A2A4C">
      <w:pPr>
        <w:spacing w:after="0"/>
        <w:jc w:val="center"/>
        <w:rPr>
          <w:rFonts w:ascii="Gadugi" w:eastAsia="Gadugi" w:hAnsi="Gadugi" w:cs="Gadugi"/>
        </w:rPr>
      </w:pPr>
      <w:r>
        <w:rPr>
          <w:rFonts w:ascii="Gadugi" w:eastAsia="Gadugi" w:hAnsi="Gadugi" w:cs="Gadugi"/>
        </w:rPr>
        <w:t>ALEXANDER BEDOYA DUQUE</w:t>
      </w:r>
    </w:p>
    <w:p w14:paraId="65C6CFB2" w14:textId="77777777" w:rsidR="007462F0" w:rsidRDefault="009A2A4C">
      <w:pPr>
        <w:jc w:val="center"/>
        <w:rPr>
          <w:rFonts w:ascii="Gadugi" w:eastAsia="Gadugi" w:hAnsi="Gadugi" w:cs="Gadugi"/>
        </w:rPr>
      </w:pPr>
      <w:r>
        <w:rPr>
          <w:rFonts w:ascii="Gadugi" w:eastAsia="Gadugi" w:hAnsi="Gadugi" w:cs="Gadugi"/>
        </w:rPr>
        <w:t>INGENIERO ELECTRICISTA</w:t>
      </w:r>
    </w:p>
    <w:p w14:paraId="171ADF6B" w14:textId="77777777" w:rsidR="007462F0" w:rsidRDefault="007462F0">
      <w:pPr>
        <w:jc w:val="center"/>
        <w:rPr>
          <w:rFonts w:ascii="Gadugi" w:eastAsia="Gadugi" w:hAnsi="Gadugi" w:cs="Gadugi"/>
          <w:b/>
          <w:color w:val="000000"/>
        </w:rPr>
      </w:pPr>
    </w:p>
    <w:p w14:paraId="7CF9DA18" w14:textId="77777777" w:rsidR="007462F0" w:rsidRDefault="009A2A4C">
      <w:pPr>
        <w:jc w:val="center"/>
        <w:rPr>
          <w:rFonts w:ascii="Gadugi" w:eastAsia="Gadugi" w:hAnsi="Gadugi" w:cs="Gadugi"/>
          <w:b/>
          <w:color w:val="000000"/>
        </w:rPr>
      </w:pPr>
      <w:r>
        <w:rPr>
          <w:rFonts w:ascii="Gadugi" w:eastAsia="Gadugi" w:hAnsi="Gadugi" w:cs="Gadugi"/>
          <w:b/>
          <w:noProof/>
        </w:rPr>
        <w:drawing>
          <wp:inline distT="0" distB="0" distL="0" distR="0" wp14:anchorId="0D9D75A1" wp14:editId="6CB64EBE">
            <wp:extent cx="2863313" cy="793578"/>
            <wp:effectExtent l="0" t="0" r="0" b="0"/>
            <wp:docPr id="2110191439"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0"/>
                    <a:srcRect/>
                    <a:stretch>
                      <a:fillRect/>
                    </a:stretch>
                  </pic:blipFill>
                  <pic:spPr>
                    <a:xfrm>
                      <a:off x="0" y="0"/>
                      <a:ext cx="2863313" cy="793578"/>
                    </a:xfrm>
                    <a:prstGeom prst="rect">
                      <a:avLst/>
                    </a:prstGeom>
                    <a:ln/>
                  </pic:spPr>
                </pic:pic>
              </a:graphicData>
            </a:graphic>
          </wp:inline>
        </w:drawing>
      </w:r>
    </w:p>
    <w:p w14:paraId="1830BCD6" w14:textId="77777777" w:rsidR="007462F0" w:rsidRDefault="009A2A4C">
      <w:pPr>
        <w:spacing w:after="0"/>
        <w:jc w:val="center"/>
        <w:rPr>
          <w:rFonts w:ascii="Gadugi" w:eastAsia="Gadugi" w:hAnsi="Gadugi" w:cs="Gadugi"/>
          <w:b/>
        </w:rPr>
      </w:pPr>
      <w:r>
        <w:rPr>
          <w:rFonts w:ascii="Gadugi" w:eastAsia="Gadugi" w:hAnsi="Gadugi" w:cs="Gadugi"/>
          <w:b/>
        </w:rPr>
        <w:t>PABLO GIL AGUDELO</w:t>
      </w:r>
    </w:p>
    <w:p w14:paraId="20C929CC" w14:textId="77777777" w:rsidR="007462F0" w:rsidRDefault="009A2A4C">
      <w:pPr>
        <w:spacing w:after="0"/>
        <w:jc w:val="center"/>
        <w:rPr>
          <w:rFonts w:ascii="Gadugi" w:eastAsia="Gadugi" w:hAnsi="Gadugi" w:cs="Gadugi"/>
          <w:b/>
        </w:rPr>
      </w:pPr>
      <w:r>
        <w:rPr>
          <w:rFonts w:ascii="Gadugi" w:eastAsia="Gadugi" w:hAnsi="Gadugi" w:cs="Gadugi"/>
          <w:b/>
        </w:rPr>
        <w:t>SUPERVISOR</w:t>
      </w:r>
    </w:p>
    <w:p w14:paraId="60553898" w14:textId="77777777" w:rsidR="007462F0" w:rsidRDefault="007462F0">
      <w:pPr>
        <w:widowControl w:val="0"/>
        <w:pBdr>
          <w:top w:val="nil"/>
          <w:left w:val="nil"/>
          <w:bottom w:val="nil"/>
          <w:right w:val="nil"/>
          <w:between w:val="nil"/>
        </w:pBdr>
        <w:spacing w:after="0" w:line="360" w:lineRule="auto"/>
        <w:jc w:val="both"/>
        <w:rPr>
          <w:rFonts w:ascii="Gadugi" w:eastAsia="Gadugi" w:hAnsi="Gadugi" w:cs="Gadugi"/>
          <w:color w:val="000000"/>
        </w:rPr>
      </w:pPr>
    </w:p>
    <w:p w14:paraId="406915FB" w14:textId="274F07E4" w:rsidR="00454394" w:rsidRDefault="008621BF" w:rsidP="00454394">
      <w:pPr>
        <w:tabs>
          <w:tab w:val="left" w:pos="3429"/>
        </w:tabs>
        <w:jc w:val="center"/>
        <w:rPr>
          <w:rFonts w:ascii="Gadugi" w:eastAsia="Gadugi" w:hAnsi="Gadugi" w:cs="Gadugi"/>
          <w:b/>
          <w:color w:val="000000"/>
        </w:rPr>
      </w:pPr>
      <w:r>
        <w:rPr>
          <w:rFonts w:ascii="Gadugi" w:eastAsia="Gadugi" w:hAnsi="Gadugi" w:cs="Gadugi"/>
          <w:b/>
          <w:color w:val="000000"/>
        </w:rPr>
        <w:t>MANIZALES, CALDAS, FEBRERO 2024</w:t>
      </w:r>
    </w:p>
    <w:p w14:paraId="22D72666" w14:textId="6B6EDA34" w:rsidR="00454394" w:rsidRDefault="00454394">
      <w:pPr>
        <w:rPr>
          <w:rFonts w:ascii="Gadugi" w:eastAsia="Gadugi" w:hAnsi="Gadugi" w:cs="Gadugi"/>
          <w:b/>
          <w:color w:val="000000"/>
        </w:rPr>
      </w:pPr>
      <w:r>
        <w:rPr>
          <w:rFonts w:ascii="Gadugi" w:eastAsia="Gadugi" w:hAnsi="Gadugi" w:cs="Gadugi"/>
          <w:b/>
          <w:color w:val="000000"/>
        </w:rPr>
        <w:br w:type="page"/>
      </w:r>
    </w:p>
    <w:p w14:paraId="6A660F85" w14:textId="77777777" w:rsidR="00454394" w:rsidRDefault="00454394" w:rsidP="00454394"/>
    <w:p w14:paraId="686E583A" w14:textId="77777777" w:rsidR="00454394" w:rsidRDefault="00454394" w:rsidP="00454394">
      <w:pPr>
        <w:tabs>
          <w:tab w:val="left" w:pos="8505"/>
        </w:tabs>
        <w:rPr>
          <w:rFonts w:ascii="Gadugi" w:hAnsi="Gadugi"/>
          <w:color w:val="000000" w:themeColor="text1"/>
          <w:sz w:val="18"/>
          <w:szCs w:val="18"/>
        </w:rPr>
      </w:pPr>
    </w:p>
    <w:p w14:paraId="6C3B8D06" w14:textId="77777777" w:rsidR="00454394" w:rsidRDefault="00454394" w:rsidP="00454394">
      <w:pPr>
        <w:tabs>
          <w:tab w:val="left" w:pos="8505"/>
        </w:tabs>
        <w:rPr>
          <w:rFonts w:ascii="Gadugi" w:hAnsi="Gadugi"/>
          <w:color w:val="000000" w:themeColor="text1"/>
          <w:sz w:val="18"/>
          <w:szCs w:val="18"/>
        </w:rPr>
      </w:pPr>
    </w:p>
    <w:p w14:paraId="439E04DC" w14:textId="77777777" w:rsidR="00454394" w:rsidRDefault="00454394" w:rsidP="00454394">
      <w:pPr>
        <w:tabs>
          <w:tab w:val="left" w:pos="8505"/>
        </w:tabs>
        <w:rPr>
          <w:rFonts w:ascii="Gadugi" w:hAnsi="Gadugi"/>
          <w:color w:val="000000" w:themeColor="text1"/>
          <w:sz w:val="18"/>
          <w:szCs w:val="18"/>
        </w:rPr>
      </w:pPr>
    </w:p>
    <w:p w14:paraId="202D3222" w14:textId="77777777" w:rsidR="00454394" w:rsidRDefault="00454394" w:rsidP="00454394">
      <w:pPr>
        <w:tabs>
          <w:tab w:val="left" w:pos="8505"/>
        </w:tabs>
        <w:rPr>
          <w:rFonts w:ascii="Gadugi" w:hAnsi="Gadugi"/>
          <w:color w:val="000000" w:themeColor="text1"/>
          <w:sz w:val="18"/>
          <w:szCs w:val="18"/>
        </w:rPr>
      </w:pPr>
    </w:p>
    <w:p w14:paraId="00E8FD66" w14:textId="77777777" w:rsidR="00454394" w:rsidRDefault="00454394" w:rsidP="00454394">
      <w:pPr>
        <w:tabs>
          <w:tab w:val="left" w:pos="8505"/>
        </w:tabs>
        <w:rPr>
          <w:rFonts w:ascii="Gadugi" w:hAnsi="Gadugi"/>
          <w:color w:val="000000" w:themeColor="text1"/>
          <w:sz w:val="18"/>
          <w:szCs w:val="18"/>
        </w:rPr>
      </w:pPr>
    </w:p>
    <w:tbl>
      <w:tblPr>
        <w:tblW w:w="0" w:type="auto"/>
        <w:jc w:val="center"/>
        <w:tblCellMar>
          <w:left w:w="70" w:type="dxa"/>
          <w:right w:w="70" w:type="dxa"/>
        </w:tblCellMar>
        <w:tblLook w:val="04A0" w:firstRow="1" w:lastRow="0" w:firstColumn="1" w:lastColumn="0" w:noHBand="0" w:noVBand="1"/>
      </w:tblPr>
      <w:tblGrid>
        <w:gridCol w:w="1942"/>
        <w:gridCol w:w="2526"/>
        <w:gridCol w:w="2014"/>
      </w:tblGrid>
      <w:tr w:rsidR="00454394" w14:paraId="192EDB4A" w14:textId="77777777" w:rsidTr="00454394">
        <w:trPr>
          <w:trHeight w:val="366"/>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054DEAA1" w14:textId="77777777" w:rsidR="00454394" w:rsidRDefault="00454394">
            <w:pPr>
              <w:jc w:val="center"/>
              <w:rPr>
                <w:rFonts w:ascii="Gadugi" w:eastAsia="Times New Roman" w:hAnsi="Gadugi"/>
                <w:b/>
                <w:bCs/>
                <w:color w:val="000000"/>
              </w:rPr>
            </w:pPr>
            <w:r>
              <w:rPr>
                <w:rFonts w:ascii="Gadugi" w:eastAsia="Times New Roman" w:hAnsi="Gadugi"/>
                <w:b/>
                <w:bCs/>
                <w:color w:val="000000"/>
              </w:rPr>
              <w:t>ÍNDICE DE REVISIONES</w:t>
            </w:r>
          </w:p>
        </w:tc>
      </w:tr>
      <w:tr w:rsidR="00454394" w14:paraId="19958A40" w14:textId="77777777" w:rsidTr="00454394">
        <w:trPr>
          <w:trHeight w:val="478"/>
          <w:jc w:val="center"/>
        </w:trPr>
        <w:tc>
          <w:tcPr>
            <w:tcW w:w="0" w:type="auto"/>
            <w:tcBorders>
              <w:top w:val="nil"/>
              <w:left w:val="single" w:sz="4" w:space="0" w:color="auto"/>
              <w:bottom w:val="single" w:sz="4" w:space="0" w:color="auto"/>
              <w:right w:val="single" w:sz="4" w:space="0" w:color="auto"/>
            </w:tcBorders>
            <w:vAlign w:val="center"/>
            <w:hideMark/>
          </w:tcPr>
          <w:p w14:paraId="359F58B8" w14:textId="77777777" w:rsidR="00454394" w:rsidRDefault="00454394">
            <w:pPr>
              <w:jc w:val="center"/>
              <w:rPr>
                <w:rFonts w:ascii="Gadugi" w:eastAsia="Times New Roman" w:hAnsi="Gadugi"/>
                <w:b/>
                <w:bCs/>
                <w:color w:val="000000"/>
              </w:rPr>
            </w:pPr>
            <w:r>
              <w:rPr>
                <w:rFonts w:ascii="Gadugi" w:eastAsia="Times New Roman" w:hAnsi="Gadugi"/>
                <w:b/>
                <w:bCs/>
                <w:color w:val="000000"/>
              </w:rPr>
              <w:t>ÍNDICE REVISIÓN</w:t>
            </w:r>
          </w:p>
        </w:tc>
        <w:tc>
          <w:tcPr>
            <w:tcW w:w="0" w:type="auto"/>
            <w:tcBorders>
              <w:top w:val="nil"/>
              <w:left w:val="nil"/>
              <w:bottom w:val="single" w:sz="4" w:space="0" w:color="auto"/>
              <w:right w:val="single" w:sz="4" w:space="0" w:color="auto"/>
            </w:tcBorders>
            <w:vAlign w:val="center"/>
            <w:hideMark/>
          </w:tcPr>
          <w:p w14:paraId="3D1B5335" w14:textId="77777777" w:rsidR="00454394" w:rsidRDefault="00454394">
            <w:pPr>
              <w:jc w:val="center"/>
              <w:rPr>
                <w:rFonts w:ascii="Gadugi" w:eastAsia="Times New Roman" w:hAnsi="Gadugi"/>
                <w:b/>
                <w:bCs/>
                <w:color w:val="000000"/>
              </w:rPr>
            </w:pPr>
            <w:r>
              <w:rPr>
                <w:rFonts w:ascii="Gadugi" w:eastAsia="Times New Roman" w:hAnsi="Gadugi"/>
                <w:b/>
                <w:bCs/>
                <w:color w:val="000000"/>
              </w:rPr>
              <w:t>FECHA MODIFICACIÓN</w:t>
            </w:r>
          </w:p>
        </w:tc>
        <w:tc>
          <w:tcPr>
            <w:tcW w:w="0" w:type="auto"/>
            <w:tcBorders>
              <w:top w:val="nil"/>
              <w:left w:val="nil"/>
              <w:bottom w:val="single" w:sz="4" w:space="0" w:color="auto"/>
              <w:right w:val="single" w:sz="4" w:space="0" w:color="auto"/>
            </w:tcBorders>
            <w:vAlign w:val="center"/>
            <w:hideMark/>
          </w:tcPr>
          <w:p w14:paraId="5C53E56E" w14:textId="77777777" w:rsidR="00454394" w:rsidRDefault="00454394">
            <w:pPr>
              <w:jc w:val="center"/>
              <w:rPr>
                <w:rFonts w:ascii="Gadugi" w:eastAsia="Times New Roman" w:hAnsi="Gadugi"/>
                <w:b/>
                <w:bCs/>
                <w:color w:val="000000"/>
              </w:rPr>
            </w:pPr>
            <w:r>
              <w:rPr>
                <w:rFonts w:ascii="Gadugi" w:eastAsia="Times New Roman" w:hAnsi="Gadugi"/>
                <w:b/>
                <w:bCs/>
                <w:color w:val="000000"/>
              </w:rPr>
              <w:t>MODIFICACIONES</w:t>
            </w:r>
          </w:p>
        </w:tc>
      </w:tr>
      <w:tr w:rsidR="00454394" w14:paraId="55AA8A09" w14:textId="77777777" w:rsidTr="00454394">
        <w:trPr>
          <w:trHeight w:val="307"/>
          <w:jc w:val="center"/>
        </w:trPr>
        <w:tc>
          <w:tcPr>
            <w:tcW w:w="0" w:type="auto"/>
            <w:tcBorders>
              <w:top w:val="nil"/>
              <w:left w:val="single" w:sz="4" w:space="0" w:color="auto"/>
              <w:bottom w:val="single" w:sz="4" w:space="0" w:color="auto"/>
              <w:right w:val="single" w:sz="4" w:space="0" w:color="auto"/>
            </w:tcBorders>
            <w:noWrap/>
            <w:vAlign w:val="bottom"/>
            <w:hideMark/>
          </w:tcPr>
          <w:p w14:paraId="18E57233" w14:textId="77777777" w:rsidR="00454394" w:rsidRDefault="00454394">
            <w:pPr>
              <w:rPr>
                <w:rFonts w:ascii="Gadugi" w:eastAsia="Times New Roman" w:hAnsi="Gadugi"/>
                <w:b/>
                <w:bCs/>
                <w:color w:val="000000"/>
              </w:rPr>
            </w:pPr>
          </w:p>
        </w:tc>
        <w:tc>
          <w:tcPr>
            <w:tcW w:w="0" w:type="auto"/>
            <w:tcBorders>
              <w:top w:val="nil"/>
              <w:left w:val="nil"/>
              <w:bottom w:val="single" w:sz="4" w:space="0" w:color="auto"/>
              <w:right w:val="single" w:sz="4" w:space="0" w:color="auto"/>
            </w:tcBorders>
            <w:noWrap/>
            <w:vAlign w:val="bottom"/>
          </w:tcPr>
          <w:p w14:paraId="355AC3CD" w14:textId="77777777" w:rsidR="00454394" w:rsidRDefault="00454394">
            <w:pPr>
              <w:rPr>
                <w:rFonts w:ascii="Gadugi" w:eastAsia="Times New Roman" w:hAnsi="Gadugi"/>
                <w:color w:val="000000"/>
                <w:lang w:eastAsia="en-US"/>
              </w:rPr>
            </w:pPr>
          </w:p>
        </w:tc>
        <w:tc>
          <w:tcPr>
            <w:tcW w:w="0" w:type="auto"/>
            <w:tcBorders>
              <w:top w:val="nil"/>
              <w:left w:val="nil"/>
              <w:bottom w:val="single" w:sz="4" w:space="0" w:color="auto"/>
              <w:right w:val="single" w:sz="4" w:space="0" w:color="auto"/>
            </w:tcBorders>
            <w:noWrap/>
            <w:vAlign w:val="bottom"/>
            <w:hideMark/>
          </w:tcPr>
          <w:p w14:paraId="76166EEE" w14:textId="77777777" w:rsidR="00454394" w:rsidRDefault="00454394">
            <w:pPr>
              <w:rPr>
                <w:rFonts w:ascii="Gadugi" w:eastAsia="Times New Roman" w:hAnsi="Gadugi"/>
                <w:color w:val="000000"/>
              </w:rPr>
            </w:pPr>
            <w:r>
              <w:rPr>
                <w:rFonts w:ascii="Gadugi" w:eastAsia="Times New Roman" w:hAnsi="Gadugi"/>
                <w:color w:val="000000"/>
              </w:rPr>
              <w:t> </w:t>
            </w:r>
          </w:p>
        </w:tc>
      </w:tr>
      <w:tr w:rsidR="00454394" w14:paraId="43141E41" w14:textId="77777777" w:rsidTr="00454394">
        <w:trPr>
          <w:trHeight w:val="293"/>
          <w:jc w:val="center"/>
        </w:trPr>
        <w:tc>
          <w:tcPr>
            <w:tcW w:w="0" w:type="auto"/>
            <w:tcBorders>
              <w:top w:val="nil"/>
              <w:left w:val="single" w:sz="4" w:space="0" w:color="auto"/>
              <w:bottom w:val="single" w:sz="4" w:space="0" w:color="auto"/>
              <w:right w:val="single" w:sz="4" w:space="0" w:color="auto"/>
            </w:tcBorders>
            <w:noWrap/>
            <w:vAlign w:val="bottom"/>
            <w:hideMark/>
          </w:tcPr>
          <w:p w14:paraId="0A7E5291" w14:textId="77777777" w:rsidR="00454394" w:rsidRDefault="00454394">
            <w:pPr>
              <w:rPr>
                <w:rFonts w:ascii="Gadugi" w:eastAsia="Times New Roman" w:hAnsi="Gadugi"/>
                <w:color w:val="000000"/>
              </w:rPr>
            </w:pPr>
          </w:p>
        </w:tc>
        <w:tc>
          <w:tcPr>
            <w:tcW w:w="0" w:type="auto"/>
            <w:tcBorders>
              <w:top w:val="nil"/>
              <w:left w:val="nil"/>
              <w:bottom w:val="single" w:sz="4" w:space="0" w:color="auto"/>
              <w:right w:val="single" w:sz="4" w:space="0" w:color="auto"/>
            </w:tcBorders>
            <w:noWrap/>
            <w:vAlign w:val="bottom"/>
            <w:hideMark/>
          </w:tcPr>
          <w:p w14:paraId="2B32293E" w14:textId="77777777" w:rsidR="00454394" w:rsidRDefault="00454394">
            <w:pPr>
              <w:spacing w:after="0"/>
              <w:rPr>
                <w:sz w:val="20"/>
                <w:szCs w:val="20"/>
              </w:rPr>
            </w:pPr>
          </w:p>
        </w:tc>
        <w:tc>
          <w:tcPr>
            <w:tcW w:w="0" w:type="auto"/>
            <w:tcBorders>
              <w:top w:val="nil"/>
              <w:left w:val="nil"/>
              <w:bottom w:val="single" w:sz="4" w:space="0" w:color="auto"/>
              <w:right w:val="single" w:sz="4" w:space="0" w:color="auto"/>
            </w:tcBorders>
            <w:noWrap/>
            <w:vAlign w:val="bottom"/>
            <w:hideMark/>
          </w:tcPr>
          <w:p w14:paraId="3E64FB93" w14:textId="77777777" w:rsidR="00454394" w:rsidRDefault="00454394">
            <w:pPr>
              <w:rPr>
                <w:rFonts w:ascii="Gadugi" w:eastAsia="Times New Roman" w:hAnsi="Gadugi"/>
                <w:color w:val="000000"/>
                <w:lang w:eastAsia="en-US"/>
              </w:rPr>
            </w:pPr>
            <w:r>
              <w:rPr>
                <w:rFonts w:ascii="Gadugi" w:eastAsia="Times New Roman" w:hAnsi="Gadugi"/>
                <w:color w:val="000000"/>
              </w:rPr>
              <w:t> </w:t>
            </w:r>
          </w:p>
        </w:tc>
      </w:tr>
    </w:tbl>
    <w:p w14:paraId="75D97402" w14:textId="77777777" w:rsidR="00454394" w:rsidRDefault="00454394" w:rsidP="00454394">
      <w:pPr>
        <w:rPr>
          <w:rFonts w:ascii="Gadugi" w:eastAsiaTheme="minorHAnsi" w:hAnsi="Gadugi" w:cstheme="minorBidi"/>
          <w:lang w:eastAsia="en-US"/>
        </w:rPr>
      </w:pPr>
    </w:p>
    <w:p w14:paraId="32446D1C" w14:textId="77777777" w:rsidR="00454394" w:rsidRDefault="00454394" w:rsidP="00454394">
      <w:pPr>
        <w:rPr>
          <w:rFonts w:ascii="Gadugi" w:hAnsi="Gadugi"/>
        </w:rPr>
      </w:pPr>
    </w:p>
    <w:p w14:paraId="061A92BB" w14:textId="77777777" w:rsidR="00454394" w:rsidRDefault="00454394" w:rsidP="00454394">
      <w:pPr>
        <w:tabs>
          <w:tab w:val="left" w:pos="8505"/>
        </w:tabs>
        <w:rPr>
          <w:rFonts w:ascii="Gadugi" w:hAnsi="Gadugi"/>
          <w:color w:val="000000" w:themeColor="text1"/>
          <w:sz w:val="18"/>
          <w:szCs w:val="18"/>
        </w:rPr>
      </w:pPr>
    </w:p>
    <w:tbl>
      <w:tblPr>
        <w:tblW w:w="5149" w:type="dxa"/>
        <w:jc w:val="center"/>
        <w:tblCellMar>
          <w:left w:w="70" w:type="dxa"/>
          <w:right w:w="70" w:type="dxa"/>
        </w:tblCellMar>
        <w:tblLook w:val="04A0" w:firstRow="1" w:lastRow="0" w:firstColumn="1" w:lastColumn="0" w:noHBand="0" w:noVBand="1"/>
      </w:tblPr>
      <w:tblGrid>
        <w:gridCol w:w="1276"/>
        <w:gridCol w:w="1093"/>
        <w:gridCol w:w="8"/>
        <w:gridCol w:w="2772"/>
      </w:tblGrid>
      <w:tr w:rsidR="00454394" w14:paraId="46595B2F" w14:textId="77777777" w:rsidTr="00454394">
        <w:trPr>
          <w:trHeight w:val="315"/>
          <w:jc w:val="center"/>
        </w:trPr>
        <w:tc>
          <w:tcPr>
            <w:tcW w:w="2377" w:type="dxa"/>
            <w:gridSpan w:val="3"/>
            <w:tcBorders>
              <w:top w:val="single" w:sz="4" w:space="0" w:color="auto"/>
              <w:left w:val="single" w:sz="4" w:space="0" w:color="auto"/>
              <w:bottom w:val="single" w:sz="4" w:space="0" w:color="auto"/>
              <w:right w:val="single" w:sz="4" w:space="0" w:color="auto"/>
            </w:tcBorders>
            <w:noWrap/>
            <w:vAlign w:val="center"/>
            <w:hideMark/>
          </w:tcPr>
          <w:p w14:paraId="447BD551" w14:textId="77777777" w:rsidR="00454394" w:rsidRDefault="00454394">
            <w:pPr>
              <w:contextualSpacing/>
              <w:rPr>
                <w:rFonts w:ascii="Gadugi" w:eastAsia="Times New Roman" w:hAnsi="Gadugi"/>
                <w:b/>
                <w:bCs/>
                <w:color w:val="000000"/>
              </w:rPr>
            </w:pPr>
            <w:r>
              <w:rPr>
                <w:rFonts w:ascii="Gadugi" w:eastAsia="Times New Roman" w:hAnsi="Gadugi"/>
                <w:b/>
                <w:bCs/>
                <w:color w:val="000000"/>
              </w:rPr>
              <w:t>VERSIÓN No.</w:t>
            </w:r>
          </w:p>
        </w:tc>
        <w:tc>
          <w:tcPr>
            <w:tcW w:w="2772" w:type="dxa"/>
            <w:tcBorders>
              <w:top w:val="single" w:sz="4" w:space="0" w:color="auto"/>
              <w:left w:val="nil"/>
              <w:bottom w:val="single" w:sz="4" w:space="0" w:color="auto"/>
              <w:right w:val="single" w:sz="4" w:space="0" w:color="auto"/>
            </w:tcBorders>
            <w:noWrap/>
            <w:vAlign w:val="center"/>
            <w:hideMark/>
          </w:tcPr>
          <w:p w14:paraId="5DB365E8" w14:textId="77777777" w:rsidR="00454394" w:rsidRDefault="00454394">
            <w:pPr>
              <w:contextualSpacing/>
              <w:jc w:val="center"/>
              <w:rPr>
                <w:rFonts w:ascii="Gadugi" w:eastAsia="Times New Roman" w:hAnsi="Gadugi"/>
                <w:b/>
                <w:bCs/>
                <w:color w:val="000000"/>
              </w:rPr>
            </w:pPr>
            <w:r>
              <w:rPr>
                <w:rFonts w:ascii="Gadugi" w:eastAsia="Times New Roman" w:hAnsi="Gadugi"/>
                <w:b/>
                <w:bCs/>
                <w:color w:val="000000"/>
              </w:rPr>
              <w:t>0</w:t>
            </w:r>
          </w:p>
        </w:tc>
      </w:tr>
      <w:tr w:rsidR="00454394" w14:paraId="04A0923C" w14:textId="77777777" w:rsidTr="00454394">
        <w:trPr>
          <w:trHeight w:val="277"/>
          <w:jc w:val="center"/>
        </w:trPr>
        <w:tc>
          <w:tcPr>
            <w:tcW w:w="1276" w:type="dxa"/>
            <w:vMerge w:val="restart"/>
            <w:tcBorders>
              <w:top w:val="nil"/>
              <w:left w:val="single" w:sz="4" w:space="0" w:color="auto"/>
              <w:bottom w:val="single" w:sz="4" w:space="0" w:color="auto"/>
              <w:right w:val="single" w:sz="4" w:space="0" w:color="auto"/>
            </w:tcBorders>
            <w:noWrap/>
            <w:vAlign w:val="center"/>
            <w:hideMark/>
          </w:tcPr>
          <w:p w14:paraId="6D0BF51C" w14:textId="77777777" w:rsidR="00454394" w:rsidRDefault="00454394" w:rsidP="00454394">
            <w:pPr>
              <w:contextualSpacing/>
              <w:rPr>
                <w:rFonts w:ascii="Gadugi" w:eastAsia="Times New Roman" w:hAnsi="Gadugi"/>
                <w:b/>
                <w:bCs/>
                <w:color w:val="000000"/>
              </w:rPr>
            </w:pPr>
            <w:r>
              <w:rPr>
                <w:rFonts w:ascii="Gadugi" w:eastAsia="Times New Roman" w:hAnsi="Gadugi"/>
                <w:b/>
                <w:bCs/>
                <w:color w:val="000000"/>
              </w:rPr>
              <w:t>PREPARÓ:</w:t>
            </w:r>
          </w:p>
        </w:tc>
        <w:tc>
          <w:tcPr>
            <w:tcW w:w="1093" w:type="dxa"/>
            <w:tcBorders>
              <w:top w:val="nil"/>
              <w:left w:val="nil"/>
              <w:bottom w:val="single" w:sz="4" w:space="0" w:color="auto"/>
              <w:right w:val="single" w:sz="4" w:space="0" w:color="auto"/>
            </w:tcBorders>
            <w:noWrap/>
            <w:vAlign w:val="center"/>
            <w:hideMark/>
          </w:tcPr>
          <w:p w14:paraId="7EC7279B" w14:textId="77777777" w:rsidR="00454394" w:rsidRDefault="00454394" w:rsidP="00454394">
            <w:pPr>
              <w:contextualSpacing/>
              <w:rPr>
                <w:rFonts w:ascii="Gadugi" w:eastAsia="Times New Roman" w:hAnsi="Gadugi"/>
                <w:b/>
                <w:bCs/>
                <w:color w:val="000000"/>
              </w:rPr>
            </w:pPr>
            <w:r>
              <w:rPr>
                <w:rFonts w:ascii="Gadugi" w:eastAsia="Times New Roman" w:hAnsi="Gadugi"/>
                <w:b/>
                <w:bCs/>
                <w:color w:val="000000"/>
              </w:rPr>
              <w:t>NOMBRE</w:t>
            </w:r>
          </w:p>
        </w:tc>
        <w:tc>
          <w:tcPr>
            <w:tcW w:w="2780" w:type="dxa"/>
            <w:gridSpan w:val="2"/>
            <w:tcBorders>
              <w:top w:val="single" w:sz="4" w:space="0" w:color="auto"/>
              <w:left w:val="nil"/>
              <w:bottom w:val="single" w:sz="4" w:space="0" w:color="auto"/>
              <w:right w:val="single" w:sz="4" w:space="0" w:color="auto"/>
            </w:tcBorders>
            <w:noWrap/>
            <w:vAlign w:val="center"/>
          </w:tcPr>
          <w:p w14:paraId="39477000" w14:textId="214AEF78" w:rsidR="00454394" w:rsidRDefault="00454394" w:rsidP="00454394">
            <w:pPr>
              <w:contextualSpacing/>
              <w:rPr>
                <w:rFonts w:ascii="Gadugi" w:eastAsia="Times New Roman" w:hAnsi="Gadugi"/>
                <w:color w:val="000000"/>
              </w:rPr>
            </w:pPr>
            <w:r>
              <w:rPr>
                <w:rFonts w:ascii="Gadugi" w:eastAsia="Times New Roman" w:hAnsi="Gadugi"/>
                <w:color w:val="000000"/>
              </w:rPr>
              <w:t>Alexander Bedoya Duque</w:t>
            </w:r>
          </w:p>
        </w:tc>
      </w:tr>
      <w:tr w:rsidR="00454394" w14:paraId="3398918E" w14:textId="77777777" w:rsidTr="00454394">
        <w:trPr>
          <w:trHeight w:val="315"/>
          <w:jc w:val="center"/>
        </w:trPr>
        <w:tc>
          <w:tcPr>
            <w:tcW w:w="0" w:type="auto"/>
            <w:vMerge/>
            <w:tcBorders>
              <w:top w:val="nil"/>
              <w:left w:val="single" w:sz="4" w:space="0" w:color="auto"/>
              <w:bottom w:val="single" w:sz="4" w:space="0" w:color="auto"/>
              <w:right w:val="single" w:sz="4" w:space="0" w:color="auto"/>
            </w:tcBorders>
            <w:vAlign w:val="center"/>
            <w:hideMark/>
          </w:tcPr>
          <w:p w14:paraId="1F16C04C" w14:textId="77777777" w:rsidR="00454394" w:rsidRDefault="00454394" w:rsidP="00454394">
            <w:pPr>
              <w:spacing w:after="0"/>
              <w:rPr>
                <w:rFonts w:ascii="Gadugi" w:eastAsia="Times New Roman" w:hAnsi="Gadugi"/>
                <w:b/>
                <w:bCs/>
                <w:color w:val="000000"/>
                <w:lang w:eastAsia="en-US"/>
              </w:rPr>
            </w:pPr>
          </w:p>
        </w:tc>
        <w:tc>
          <w:tcPr>
            <w:tcW w:w="1093" w:type="dxa"/>
            <w:tcBorders>
              <w:top w:val="nil"/>
              <w:left w:val="nil"/>
              <w:bottom w:val="single" w:sz="4" w:space="0" w:color="auto"/>
              <w:right w:val="single" w:sz="4" w:space="0" w:color="auto"/>
            </w:tcBorders>
            <w:noWrap/>
            <w:vAlign w:val="center"/>
            <w:hideMark/>
          </w:tcPr>
          <w:p w14:paraId="46DBD570" w14:textId="77777777" w:rsidR="00454394" w:rsidRDefault="00454394" w:rsidP="00454394">
            <w:pPr>
              <w:contextualSpacing/>
              <w:rPr>
                <w:rFonts w:ascii="Gadugi" w:eastAsia="Times New Roman" w:hAnsi="Gadugi"/>
                <w:b/>
                <w:bCs/>
                <w:color w:val="000000"/>
              </w:rPr>
            </w:pPr>
            <w:r>
              <w:rPr>
                <w:rFonts w:ascii="Gadugi" w:eastAsia="Times New Roman" w:hAnsi="Gadugi"/>
                <w:b/>
                <w:bCs/>
                <w:color w:val="000000"/>
              </w:rPr>
              <w:t>FIRMA</w:t>
            </w:r>
          </w:p>
        </w:tc>
        <w:tc>
          <w:tcPr>
            <w:tcW w:w="2780" w:type="dxa"/>
            <w:gridSpan w:val="2"/>
            <w:tcBorders>
              <w:top w:val="single" w:sz="4" w:space="0" w:color="auto"/>
              <w:left w:val="nil"/>
              <w:bottom w:val="single" w:sz="4" w:space="0" w:color="auto"/>
              <w:right w:val="single" w:sz="4" w:space="0" w:color="auto"/>
            </w:tcBorders>
            <w:noWrap/>
            <w:vAlign w:val="center"/>
            <w:hideMark/>
          </w:tcPr>
          <w:p w14:paraId="7A97FB82" w14:textId="52D187B0" w:rsidR="00454394" w:rsidRDefault="00454394" w:rsidP="00454394">
            <w:pPr>
              <w:contextualSpacing/>
              <w:jc w:val="center"/>
              <w:rPr>
                <w:rFonts w:ascii="Gadugi" w:eastAsia="Times New Roman" w:hAnsi="Gadugi"/>
                <w:color w:val="000000"/>
              </w:rPr>
            </w:pPr>
            <w:r>
              <w:rPr>
                <w:noProof/>
                <w:sz w:val="24"/>
              </w:rPr>
              <w:drawing>
                <wp:inline distT="0" distB="0" distL="0" distR="0" wp14:anchorId="4B4F5483" wp14:editId="3D69FCCF">
                  <wp:extent cx="1625600" cy="26670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350373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5600" cy="266700"/>
                          </a:xfrm>
                          <a:prstGeom prst="rect">
                            <a:avLst/>
                          </a:prstGeom>
                          <a:noFill/>
                          <a:ln>
                            <a:noFill/>
                          </a:ln>
                        </pic:spPr>
                      </pic:pic>
                    </a:graphicData>
                  </a:graphic>
                </wp:inline>
              </w:drawing>
            </w:r>
          </w:p>
        </w:tc>
      </w:tr>
      <w:tr w:rsidR="00454394" w14:paraId="6C0475F0" w14:textId="77777777" w:rsidTr="00454394">
        <w:trPr>
          <w:trHeight w:val="315"/>
          <w:jc w:val="center"/>
        </w:trPr>
        <w:tc>
          <w:tcPr>
            <w:tcW w:w="1276" w:type="dxa"/>
            <w:vMerge w:val="restart"/>
            <w:tcBorders>
              <w:top w:val="nil"/>
              <w:left w:val="single" w:sz="4" w:space="0" w:color="auto"/>
              <w:bottom w:val="single" w:sz="4" w:space="0" w:color="auto"/>
              <w:right w:val="single" w:sz="4" w:space="0" w:color="auto"/>
            </w:tcBorders>
            <w:noWrap/>
            <w:vAlign w:val="center"/>
            <w:hideMark/>
          </w:tcPr>
          <w:p w14:paraId="7F14BAA4" w14:textId="77777777" w:rsidR="00454394" w:rsidRDefault="00454394" w:rsidP="00454394">
            <w:pPr>
              <w:contextualSpacing/>
              <w:rPr>
                <w:rFonts w:ascii="Gadugi" w:eastAsia="Times New Roman" w:hAnsi="Gadugi"/>
                <w:b/>
                <w:bCs/>
                <w:color w:val="000000"/>
              </w:rPr>
            </w:pPr>
            <w:r>
              <w:rPr>
                <w:rFonts w:ascii="Gadugi" w:eastAsia="Times New Roman" w:hAnsi="Gadugi"/>
                <w:b/>
                <w:bCs/>
                <w:color w:val="000000"/>
              </w:rPr>
              <w:t>REVISÓ:</w:t>
            </w:r>
          </w:p>
        </w:tc>
        <w:tc>
          <w:tcPr>
            <w:tcW w:w="1093" w:type="dxa"/>
            <w:tcBorders>
              <w:top w:val="nil"/>
              <w:left w:val="nil"/>
              <w:bottom w:val="single" w:sz="4" w:space="0" w:color="auto"/>
              <w:right w:val="single" w:sz="4" w:space="0" w:color="auto"/>
            </w:tcBorders>
            <w:noWrap/>
            <w:vAlign w:val="center"/>
            <w:hideMark/>
          </w:tcPr>
          <w:p w14:paraId="59491F69" w14:textId="77777777" w:rsidR="00454394" w:rsidRDefault="00454394" w:rsidP="00454394">
            <w:pPr>
              <w:contextualSpacing/>
              <w:rPr>
                <w:rFonts w:ascii="Gadugi" w:eastAsia="Times New Roman" w:hAnsi="Gadugi"/>
                <w:b/>
                <w:bCs/>
                <w:color w:val="000000"/>
              </w:rPr>
            </w:pPr>
            <w:r>
              <w:rPr>
                <w:rFonts w:ascii="Gadugi" w:eastAsia="Times New Roman" w:hAnsi="Gadugi"/>
                <w:b/>
                <w:bCs/>
                <w:color w:val="000000"/>
              </w:rPr>
              <w:t>NOMBRE</w:t>
            </w:r>
          </w:p>
        </w:tc>
        <w:tc>
          <w:tcPr>
            <w:tcW w:w="2780" w:type="dxa"/>
            <w:gridSpan w:val="2"/>
            <w:tcBorders>
              <w:top w:val="single" w:sz="4" w:space="0" w:color="auto"/>
              <w:left w:val="nil"/>
              <w:bottom w:val="single" w:sz="4" w:space="0" w:color="auto"/>
              <w:right w:val="single" w:sz="4" w:space="0" w:color="auto"/>
            </w:tcBorders>
            <w:noWrap/>
            <w:vAlign w:val="center"/>
            <w:hideMark/>
          </w:tcPr>
          <w:p w14:paraId="6546E678" w14:textId="26145529" w:rsidR="00454394" w:rsidRDefault="00454394" w:rsidP="00454394">
            <w:pPr>
              <w:contextualSpacing/>
              <w:jc w:val="center"/>
              <w:rPr>
                <w:rFonts w:ascii="Gadugi" w:eastAsia="Times New Roman" w:hAnsi="Gadugi"/>
                <w:color w:val="000000"/>
              </w:rPr>
            </w:pPr>
            <w:r>
              <w:rPr>
                <w:rFonts w:ascii="Gadugi" w:eastAsia="Times New Roman" w:hAnsi="Gadugi"/>
                <w:color w:val="000000"/>
              </w:rPr>
              <w:t>Alexander Bedoya Duque</w:t>
            </w:r>
          </w:p>
        </w:tc>
      </w:tr>
      <w:tr w:rsidR="00454394" w14:paraId="3C4CDD28" w14:textId="77777777" w:rsidTr="00454394">
        <w:trPr>
          <w:trHeight w:val="315"/>
          <w:jc w:val="center"/>
        </w:trPr>
        <w:tc>
          <w:tcPr>
            <w:tcW w:w="0" w:type="auto"/>
            <w:vMerge/>
            <w:tcBorders>
              <w:top w:val="nil"/>
              <w:left w:val="single" w:sz="4" w:space="0" w:color="auto"/>
              <w:bottom w:val="single" w:sz="4" w:space="0" w:color="auto"/>
              <w:right w:val="single" w:sz="4" w:space="0" w:color="auto"/>
            </w:tcBorders>
            <w:vAlign w:val="center"/>
            <w:hideMark/>
          </w:tcPr>
          <w:p w14:paraId="022D6B0F" w14:textId="77777777" w:rsidR="00454394" w:rsidRDefault="00454394" w:rsidP="00454394">
            <w:pPr>
              <w:spacing w:after="0"/>
              <w:rPr>
                <w:rFonts w:ascii="Gadugi" w:eastAsia="Times New Roman" w:hAnsi="Gadugi"/>
                <w:b/>
                <w:bCs/>
                <w:color w:val="000000"/>
                <w:lang w:eastAsia="en-US"/>
              </w:rPr>
            </w:pPr>
          </w:p>
        </w:tc>
        <w:tc>
          <w:tcPr>
            <w:tcW w:w="1093" w:type="dxa"/>
            <w:tcBorders>
              <w:top w:val="nil"/>
              <w:left w:val="nil"/>
              <w:bottom w:val="single" w:sz="4" w:space="0" w:color="auto"/>
              <w:right w:val="single" w:sz="4" w:space="0" w:color="auto"/>
            </w:tcBorders>
            <w:noWrap/>
            <w:vAlign w:val="center"/>
            <w:hideMark/>
          </w:tcPr>
          <w:p w14:paraId="2370BD19" w14:textId="77777777" w:rsidR="00454394" w:rsidRDefault="00454394" w:rsidP="00454394">
            <w:pPr>
              <w:spacing w:before="240" w:after="0"/>
              <w:contextualSpacing/>
              <w:rPr>
                <w:rFonts w:ascii="Gadugi" w:eastAsia="Times New Roman" w:hAnsi="Gadugi"/>
                <w:b/>
                <w:bCs/>
                <w:color w:val="000000"/>
              </w:rPr>
            </w:pPr>
            <w:r>
              <w:rPr>
                <w:rFonts w:ascii="Gadugi" w:eastAsia="Times New Roman" w:hAnsi="Gadugi"/>
                <w:b/>
                <w:bCs/>
                <w:color w:val="000000"/>
              </w:rPr>
              <w:t>FIRMA</w:t>
            </w:r>
          </w:p>
        </w:tc>
        <w:tc>
          <w:tcPr>
            <w:tcW w:w="2780" w:type="dxa"/>
            <w:gridSpan w:val="2"/>
            <w:tcBorders>
              <w:top w:val="single" w:sz="4" w:space="0" w:color="auto"/>
              <w:left w:val="nil"/>
              <w:bottom w:val="single" w:sz="4" w:space="0" w:color="auto"/>
              <w:right w:val="single" w:sz="4" w:space="0" w:color="auto"/>
            </w:tcBorders>
            <w:noWrap/>
            <w:vAlign w:val="center"/>
          </w:tcPr>
          <w:p w14:paraId="74C1725A" w14:textId="7513D611" w:rsidR="00454394" w:rsidRDefault="00454394" w:rsidP="00454394">
            <w:pPr>
              <w:pStyle w:val="NormalWeb"/>
              <w:spacing w:line="256" w:lineRule="auto"/>
              <w:rPr>
                <w:rFonts w:ascii="Gadugi" w:hAnsi="Gadugi"/>
                <w:color w:val="000000"/>
                <w:lang w:eastAsia="en-US"/>
              </w:rPr>
            </w:pPr>
            <w:r>
              <w:rPr>
                <w:noProof/>
              </w:rPr>
              <w:drawing>
                <wp:inline distT="0" distB="0" distL="0" distR="0" wp14:anchorId="150831A8" wp14:editId="7665A7A9">
                  <wp:extent cx="1625600" cy="2667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350373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5600" cy="266700"/>
                          </a:xfrm>
                          <a:prstGeom prst="rect">
                            <a:avLst/>
                          </a:prstGeom>
                          <a:noFill/>
                          <a:ln>
                            <a:noFill/>
                          </a:ln>
                        </pic:spPr>
                      </pic:pic>
                    </a:graphicData>
                  </a:graphic>
                </wp:inline>
              </w:drawing>
            </w:r>
          </w:p>
        </w:tc>
      </w:tr>
      <w:tr w:rsidR="00454394" w14:paraId="51624CB4" w14:textId="77777777" w:rsidTr="00454394">
        <w:trPr>
          <w:trHeight w:val="315"/>
          <w:jc w:val="center"/>
        </w:trPr>
        <w:tc>
          <w:tcPr>
            <w:tcW w:w="1276" w:type="dxa"/>
            <w:vMerge w:val="restart"/>
            <w:tcBorders>
              <w:top w:val="nil"/>
              <w:left w:val="single" w:sz="4" w:space="0" w:color="auto"/>
              <w:bottom w:val="single" w:sz="4" w:space="0" w:color="auto"/>
              <w:right w:val="single" w:sz="4" w:space="0" w:color="auto"/>
            </w:tcBorders>
            <w:noWrap/>
            <w:vAlign w:val="center"/>
            <w:hideMark/>
          </w:tcPr>
          <w:p w14:paraId="6BCD281D" w14:textId="77777777" w:rsidR="00454394" w:rsidRDefault="00454394">
            <w:pPr>
              <w:contextualSpacing/>
              <w:rPr>
                <w:rFonts w:ascii="Gadugi" w:eastAsia="Times New Roman" w:hAnsi="Gadugi"/>
                <w:b/>
                <w:bCs/>
                <w:color w:val="000000"/>
                <w:lang w:eastAsia="en-US"/>
              </w:rPr>
            </w:pPr>
            <w:r>
              <w:rPr>
                <w:rFonts w:ascii="Gadugi" w:eastAsia="Times New Roman" w:hAnsi="Gadugi"/>
                <w:b/>
                <w:bCs/>
                <w:color w:val="000000"/>
              </w:rPr>
              <w:t>APROBÓ:</w:t>
            </w:r>
          </w:p>
        </w:tc>
        <w:tc>
          <w:tcPr>
            <w:tcW w:w="1093" w:type="dxa"/>
            <w:tcBorders>
              <w:top w:val="nil"/>
              <w:left w:val="nil"/>
              <w:bottom w:val="single" w:sz="4" w:space="0" w:color="auto"/>
              <w:right w:val="single" w:sz="4" w:space="0" w:color="auto"/>
            </w:tcBorders>
            <w:noWrap/>
            <w:vAlign w:val="center"/>
            <w:hideMark/>
          </w:tcPr>
          <w:p w14:paraId="3888BF8C" w14:textId="77777777" w:rsidR="00454394" w:rsidRDefault="00454394">
            <w:pPr>
              <w:contextualSpacing/>
              <w:rPr>
                <w:rFonts w:ascii="Gadugi" w:eastAsia="Times New Roman" w:hAnsi="Gadugi"/>
                <w:b/>
                <w:bCs/>
                <w:color w:val="000000"/>
              </w:rPr>
            </w:pPr>
            <w:r>
              <w:rPr>
                <w:rFonts w:ascii="Gadugi" w:eastAsia="Times New Roman" w:hAnsi="Gadugi"/>
                <w:b/>
                <w:bCs/>
                <w:color w:val="000000"/>
              </w:rPr>
              <w:t>NOMBRE</w:t>
            </w:r>
          </w:p>
        </w:tc>
        <w:tc>
          <w:tcPr>
            <w:tcW w:w="2780" w:type="dxa"/>
            <w:gridSpan w:val="2"/>
            <w:tcBorders>
              <w:top w:val="single" w:sz="4" w:space="0" w:color="auto"/>
              <w:left w:val="nil"/>
              <w:bottom w:val="single" w:sz="4" w:space="0" w:color="auto"/>
              <w:right w:val="single" w:sz="4" w:space="0" w:color="auto"/>
            </w:tcBorders>
            <w:noWrap/>
            <w:vAlign w:val="center"/>
            <w:hideMark/>
          </w:tcPr>
          <w:p w14:paraId="71291D9F" w14:textId="77777777" w:rsidR="00454394" w:rsidRDefault="00454394">
            <w:pPr>
              <w:contextualSpacing/>
              <w:jc w:val="center"/>
              <w:rPr>
                <w:rFonts w:ascii="Gadugi" w:eastAsia="Times New Roman" w:hAnsi="Gadugi"/>
                <w:color w:val="000000"/>
              </w:rPr>
            </w:pPr>
            <w:r>
              <w:rPr>
                <w:rFonts w:ascii="Gadugi" w:eastAsia="Times New Roman" w:hAnsi="Gadugi"/>
                <w:color w:val="000000"/>
              </w:rPr>
              <w:t>Alexander Bedoya Duque</w:t>
            </w:r>
          </w:p>
        </w:tc>
      </w:tr>
      <w:tr w:rsidR="00454394" w14:paraId="4FABA6AF" w14:textId="77777777" w:rsidTr="00454394">
        <w:trPr>
          <w:trHeight w:val="315"/>
          <w:jc w:val="center"/>
        </w:trPr>
        <w:tc>
          <w:tcPr>
            <w:tcW w:w="0" w:type="auto"/>
            <w:vMerge/>
            <w:tcBorders>
              <w:top w:val="nil"/>
              <w:left w:val="single" w:sz="4" w:space="0" w:color="auto"/>
              <w:bottom w:val="single" w:sz="4" w:space="0" w:color="auto"/>
              <w:right w:val="single" w:sz="4" w:space="0" w:color="auto"/>
            </w:tcBorders>
            <w:vAlign w:val="center"/>
            <w:hideMark/>
          </w:tcPr>
          <w:p w14:paraId="43257D9E" w14:textId="77777777" w:rsidR="00454394" w:rsidRDefault="00454394">
            <w:pPr>
              <w:spacing w:after="0"/>
              <w:rPr>
                <w:rFonts w:ascii="Gadugi" w:eastAsia="Times New Roman" w:hAnsi="Gadugi"/>
                <w:b/>
                <w:bCs/>
                <w:color w:val="000000"/>
                <w:lang w:eastAsia="en-US"/>
              </w:rPr>
            </w:pPr>
          </w:p>
        </w:tc>
        <w:tc>
          <w:tcPr>
            <w:tcW w:w="1093" w:type="dxa"/>
            <w:tcBorders>
              <w:top w:val="nil"/>
              <w:left w:val="nil"/>
              <w:bottom w:val="single" w:sz="4" w:space="0" w:color="auto"/>
              <w:right w:val="single" w:sz="4" w:space="0" w:color="auto"/>
            </w:tcBorders>
            <w:noWrap/>
            <w:vAlign w:val="center"/>
            <w:hideMark/>
          </w:tcPr>
          <w:p w14:paraId="1050E347" w14:textId="77777777" w:rsidR="00454394" w:rsidRDefault="00454394">
            <w:pPr>
              <w:contextualSpacing/>
              <w:rPr>
                <w:rFonts w:ascii="Gadugi" w:eastAsia="Times New Roman" w:hAnsi="Gadugi"/>
                <w:b/>
                <w:bCs/>
                <w:color w:val="000000"/>
              </w:rPr>
            </w:pPr>
            <w:r>
              <w:rPr>
                <w:rFonts w:ascii="Gadugi" w:eastAsia="Times New Roman" w:hAnsi="Gadugi"/>
                <w:b/>
                <w:bCs/>
                <w:color w:val="000000"/>
              </w:rPr>
              <w:t>FIRMA</w:t>
            </w:r>
          </w:p>
        </w:tc>
        <w:tc>
          <w:tcPr>
            <w:tcW w:w="2780" w:type="dxa"/>
            <w:gridSpan w:val="2"/>
            <w:tcBorders>
              <w:top w:val="single" w:sz="4" w:space="0" w:color="auto"/>
              <w:left w:val="nil"/>
              <w:bottom w:val="single" w:sz="4" w:space="0" w:color="auto"/>
              <w:right w:val="single" w:sz="4" w:space="0" w:color="auto"/>
            </w:tcBorders>
            <w:noWrap/>
            <w:vAlign w:val="center"/>
            <w:hideMark/>
          </w:tcPr>
          <w:p w14:paraId="0A2BDC35" w14:textId="64AFEF26" w:rsidR="00454394" w:rsidRDefault="00454394">
            <w:pPr>
              <w:contextualSpacing/>
              <w:rPr>
                <w:rFonts w:ascii="Gadugi" w:eastAsia="Times New Roman" w:hAnsi="Gadugi"/>
                <w:color w:val="000000"/>
              </w:rPr>
            </w:pPr>
            <w:r>
              <w:rPr>
                <w:noProof/>
                <w:sz w:val="24"/>
              </w:rPr>
              <w:drawing>
                <wp:inline distT="0" distB="0" distL="0" distR="0" wp14:anchorId="5012557A" wp14:editId="236494DF">
                  <wp:extent cx="1625600" cy="2667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350373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5600" cy="266700"/>
                          </a:xfrm>
                          <a:prstGeom prst="rect">
                            <a:avLst/>
                          </a:prstGeom>
                          <a:noFill/>
                          <a:ln>
                            <a:noFill/>
                          </a:ln>
                        </pic:spPr>
                      </pic:pic>
                    </a:graphicData>
                  </a:graphic>
                </wp:inline>
              </w:drawing>
            </w:r>
          </w:p>
        </w:tc>
      </w:tr>
    </w:tbl>
    <w:p w14:paraId="072661B7" w14:textId="77777777" w:rsidR="00454394" w:rsidRDefault="00454394" w:rsidP="00454394">
      <w:pPr>
        <w:tabs>
          <w:tab w:val="left" w:pos="8505"/>
        </w:tabs>
        <w:rPr>
          <w:rFonts w:ascii="Gadugi" w:eastAsiaTheme="minorHAnsi" w:hAnsi="Gadugi" w:cstheme="minorBidi"/>
          <w:color w:val="000000" w:themeColor="text1"/>
          <w:sz w:val="18"/>
          <w:szCs w:val="18"/>
          <w:lang w:eastAsia="en-US"/>
        </w:rPr>
      </w:pPr>
    </w:p>
    <w:p w14:paraId="667F70A9" w14:textId="77777777" w:rsidR="00454394" w:rsidRDefault="00454394" w:rsidP="00454394">
      <w:pPr>
        <w:rPr>
          <w:rFonts w:ascii="Gadugi" w:hAnsi="Gadugi"/>
          <w:color w:val="000000" w:themeColor="text1"/>
          <w:sz w:val="18"/>
          <w:szCs w:val="18"/>
        </w:rPr>
      </w:pPr>
      <w:r>
        <w:rPr>
          <w:rFonts w:ascii="Gadugi" w:hAnsi="Gadugi"/>
          <w:color w:val="000000" w:themeColor="text1"/>
          <w:sz w:val="18"/>
          <w:szCs w:val="18"/>
        </w:rPr>
        <w:br w:type="page"/>
      </w:r>
    </w:p>
    <w:p w14:paraId="16B5F933" w14:textId="77777777" w:rsidR="008621BF" w:rsidRDefault="008621BF">
      <w:pPr>
        <w:tabs>
          <w:tab w:val="left" w:pos="3429"/>
        </w:tabs>
        <w:jc w:val="center"/>
        <w:rPr>
          <w:rFonts w:ascii="Gadugi" w:eastAsia="Gadugi" w:hAnsi="Gadugi" w:cs="Gadugi"/>
          <w:b/>
          <w:color w:val="000000"/>
        </w:rPr>
        <w:sectPr w:rsidR="008621BF">
          <w:headerReference w:type="default" r:id="rId12"/>
          <w:footerReference w:type="default" r:id="rId13"/>
          <w:headerReference w:type="first" r:id="rId14"/>
          <w:pgSz w:w="12240" w:h="15840"/>
          <w:pgMar w:top="1320" w:right="1183" w:bottom="1721" w:left="1701" w:header="372" w:footer="964" w:gutter="0"/>
          <w:pgNumType w:start="1"/>
          <w:cols w:space="720"/>
        </w:sectPr>
      </w:pPr>
    </w:p>
    <w:sdt>
      <w:sdtPr>
        <w:rPr>
          <w:rFonts w:ascii="Calibri" w:eastAsia="Calibri" w:hAnsi="Calibri" w:cs="Calibri"/>
          <w:color w:val="auto"/>
          <w:sz w:val="22"/>
          <w:szCs w:val="22"/>
          <w:u w:val="none"/>
          <w:lang w:val="es-ES"/>
        </w:rPr>
        <w:id w:val="-1206558972"/>
        <w:docPartObj>
          <w:docPartGallery w:val="Table of Contents"/>
          <w:docPartUnique/>
        </w:docPartObj>
      </w:sdtPr>
      <w:sdtEndPr>
        <w:rPr>
          <w:b/>
          <w:bCs/>
        </w:rPr>
      </w:sdtEndPr>
      <w:sdtContent>
        <w:p w14:paraId="6109D8BD" w14:textId="4BFA85E1" w:rsidR="00D75401" w:rsidRDefault="00D75401" w:rsidP="00D75401">
          <w:pPr>
            <w:pStyle w:val="TtuloTDC"/>
            <w:jc w:val="center"/>
            <w:rPr>
              <w:rFonts w:ascii="Gadugi" w:hAnsi="Gadugi"/>
              <w:b/>
              <w:bCs/>
              <w:color w:val="000000" w:themeColor="text1"/>
              <w:sz w:val="24"/>
              <w:szCs w:val="24"/>
              <w:u w:val="none"/>
              <w:lang w:val="es-ES"/>
            </w:rPr>
          </w:pPr>
          <w:r w:rsidRPr="00D75401">
            <w:rPr>
              <w:rFonts w:ascii="Gadugi" w:hAnsi="Gadugi"/>
              <w:b/>
              <w:bCs/>
              <w:color w:val="000000" w:themeColor="text1"/>
              <w:sz w:val="24"/>
              <w:szCs w:val="24"/>
              <w:u w:val="none"/>
              <w:lang w:val="es-ES"/>
            </w:rPr>
            <w:t>TABLA DE CONTENIDO</w:t>
          </w:r>
        </w:p>
        <w:p w14:paraId="64EEEEB7" w14:textId="77777777" w:rsidR="00D75401" w:rsidRPr="00D75401" w:rsidRDefault="00D75401" w:rsidP="00D75401">
          <w:pPr>
            <w:rPr>
              <w:lang w:val="es-ES"/>
            </w:rPr>
          </w:pPr>
        </w:p>
        <w:p w14:paraId="5E58E0F1" w14:textId="0B20BD1B" w:rsidR="00454394" w:rsidRDefault="00D75401">
          <w:pPr>
            <w:pStyle w:val="TDC1"/>
            <w:tabs>
              <w:tab w:val="left" w:pos="1473"/>
              <w:tab w:val="right" w:leader="dot" w:pos="8828"/>
            </w:tabs>
            <w:rPr>
              <w:rFonts w:asciiTheme="minorHAnsi" w:eastAsiaTheme="minorEastAsia" w:hAnsiTheme="minorHAnsi" w:cstheme="minorBidi"/>
              <w:noProof/>
              <w:sz w:val="22"/>
            </w:rPr>
          </w:pPr>
          <w:r>
            <w:fldChar w:fldCharType="begin"/>
          </w:r>
          <w:r>
            <w:instrText xml:space="preserve"> TOC \o "1-3" \h \z \u </w:instrText>
          </w:r>
          <w:r>
            <w:fldChar w:fldCharType="separate"/>
          </w:r>
          <w:hyperlink w:anchor="_Toc188539066" w:history="1">
            <w:r w:rsidR="00454394" w:rsidRPr="00D57AB9">
              <w:rPr>
                <w:rStyle w:val="Hipervnculo"/>
                <w:rFonts w:ascii="Gadugi" w:eastAsia="Gadugi" w:hAnsi="Gadugi" w:cs="Gadugi"/>
                <w:b/>
                <w:noProof/>
              </w:rPr>
              <w:t>1.</w:t>
            </w:r>
            <w:r w:rsidR="00454394">
              <w:rPr>
                <w:rFonts w:asciiTheme="minorHAnsi" w:eastAsiaTheme="minorEastAsia" w:hAnsiTheme="minorHAnsi" w:cstheme="minorBidi"/>
                <w:noProof/>
                <w:sz w:val="22"/>
              </w:rPr>
              <w:tab/>
            </w:r>
            <w:r w:rsidR="00454394" w:rsidRPr="00D57AB9">
              <w:rPr>
                <w:rStyle w:val="Hipervnculo"/>
                <w:rFonts w:ascii="Gadugi" w:eastAsia="Gadugi" w:hAnsi="Gadugi" w:cs="Gadugi"/>
                <w:b/>
                <w:noProof/>
              </w:rPr>
              <w:t>CENTRAL DE GENERACIÓN DISTRIBUIDA</w:t>
            </w:r>
            <w:r w:rsidR="00454394">
              <w:rPr>
                <w:noProof/>
                <w:webHidden/>
              </w:rPr>
              <w:tab/>
            </w:r>
            <w:r w:rsidR="00454394">
              <w:rPr>
                <w:noProof/>
                <w:webHidden/>
              </w:rPr>
              <w:fldChar w:fldCharType="begin"/>
            </w:r>
            <w:r w:rsidR="00454394">
              <w:rPr>
                <w:noProof/>
                <w:webHidden/>
              </w:rPr>
              <w:instrText xml:space="preserve"> PAGEREF _Toc188539066 \h </w:instrText>
            </w:r>
            <w:r w:rsidR="00454394">
              <w:rPr>
                <w:noProof/>
                <w:webHidden/>
              </w:rPr>
            </w:r>
            <w:r w:rsidR="00454394">
              <w:rPr>
                <w:noProof/>
                <w:webHidden/>
              </w:rPr>
              <w:fldChar w:fldCharType="separate"/>
            </w:r>
            <w:r w:rsidR="00454394">
              <w:rPr>
                <w:noProof/>
                <w:webHidden/>
              </w:rPr>
              <w:t>7</w:t>
            </w:r>
            <w:r w:rsidR="00454394">
              <w:rPr>
                <w:noProof/>
                <w:webHidden/>
              </w:rPr>
              <w:fldChar w:fldCharType="end"/>
            </w:r>
          </w:hyperlink>
        </w:p>
        <w:p w14:paraId="12BA5EA9" w14:textId="5C6BC3FA"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67" w:history="1">
            <w:r w:rsidRPr="00D57AB9">
              <w:rPr>
                <w:rStyle w:val="Hipervnculo"/>
                <w:rFonts w:ascii="Gadugi" w:eastAsia="Gadugi" w:hAnsi="Gadugi" w:cs="Gadugi"/>
                <w:noProof/>
              </w:rPr>
              <w:t>1.1.</w:t>
            </w:r>
            <w:r>
              <w:rPr>
                <w:rFonts w:asciiTheme="minorHAnsi" w:eastAsiaTheme="minorEastAsia" w:hAnsiTheme="minorHAnsi" w:cstheme="minorBidi"/>
                <w:noProof/>
                <w:sz w:val="22"/>
              </w:rPr>
              <w:tab/>
            </w:r>
            <w:r w:rsidRPr="00D57AB9">
              <w:rPr>
                <w:rStyle w:val="Hipervnculo"/>
                <w:rFonts w:ascii="Gadugi" w:eastAsia="Gadugi" w:hAnsi="Gadugi" w:cs="Gadugi"/>
                <w:noProof/>
              </w:rPr>
              <w:t>CRITERIOS PARA SU IMPLANTACION, DISEÑO E INSTALACION</w:t>
            </w:r>
            <w:r>
              <w:rPr>
                <w:noProof/>
                <w:webHidden/>
              </w:rPr>
              <w:tab/>
            </w:r>
            <w:r>
              <w:rPr>
                <w:noProof/>
                <w:webHidden/>
              </w:rPr>
              <w:fldChar w:fldCharType="begin"/>
            </w:r>
            <w:r>
              <w:rPr>
                <w:noProof/>
                <w:webHidden/>
              </w:rPr>
              <w:instrText xml:space="preserve"> PAGEREF _Toc188539067 \h </w:instrText>
            </w:r>
            <w:r>
              <w:rPr>
                <w:noProof/>
                <w:webHidden/>
              </w:rPr>
            </w:r>
            <w:r>
              <w:rPr>
                <w:noProof/>
                <w:webHidden/>
              </w:rPr>
              <w:fldChar w:fldCharType="separate"/>
            </w:r>
            <w:r>
              <w:rPr>
                <w:noProof/>
                <w:webHidden/>
              </w:rPr>
              <w:t>7</w:t>
            </w:r>
            <w:r>
              <w:rPr>
                <w:noProof/>
                <w:webHidden/>
              </w:rPr>
              <w:fldChar w:fldCharType="end"/>
            </w:r>
          </w:hyperlink>
        </w:p>
        <w:p w14:paraId="12CE47EC" w14:textId="7DB51D94"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68" w:history="1">
            <w:r w:rsidRPr="00D57AB9">
              <w:rPr>
                <w:rStyle w:val="Hipervnculo"/>
                <w:rFonts w:ascii="Gadugi" w:eastAsia="Gadugi" w:hAnsi="Gadugi" w:cs="Gadugi"/>
                <w:noProof/>
              </w:rPr>
              <w:t>1.2.</w:t>
            </w:r>
            <w:r>
              <w:rPr>
                <w:rFonts w:asciiTheme="minorHAnsi" w:eastAsiaTheme="minorEastAsia" w:hAnsiTheme="minorHAnsi" w:cstheme="minorBidi"/>
                <w:noProof/>
                <w:sz w:val="22"/>
              </w:rPr>
              <w:tab/>
            </w:r>
            <w:r w:rsidRPr="00D57AB9">
              <w:rPr>
                <w:rStyle w:val="Hipervnculo"/>
                <w:rFonts w:ascii="Gadugi" w:eastAsia="Gadugi" w:hAnsi="Gadugi" w:cs="Gadugi"/>
                <w:noProof/>
              </w:rPr>
              <w:t>CRITERIOS PARA EL USO</w:t>
            </w:r>
            <w:r>
              <w:rPr>
                <w:noProof/>
                <w:webHidden/>
              </w:rPr>
              <w:tab/>
            </w:r>
            <w:r>
              <w:rPr>
                <w:noProof/>
                <w:webHidden/>
              </w:rPr>
              <w:fldChar w:fldCharType="begin"/>
            </w:r>
            <w:r>
              <w:rPr>
                <w:noProof/>
                <w:webHidden/>
              </w:rPr>
              <w:instrText xml:space="preserve"> PAGEREF _Toc188539068 \h </w:instrText>
            </w:r>
            <w:r>
              <w:rPr>
                <w:noProof/>
                <w:webHidden/>
              </w:rPr>
            </w:r>
            <w:r>
              <w:rPr>
                <w:noProof/>
                <w:webHidden/>
              </w:rPr>
              <w:fldChar w:fldCharType="separate"/>
            </w:r>
            <w:r>
              <w:rPr>
                <w:noProof/>
                <w:webHidden/>
              </w:rPr>
              <w:t>8</w:t>
            </w:r>
            <w:r>
              <w:rPr>
                <w:noProof/>
                <w:webHidden/>
              </w:rPr>
              <w:fldChar w:fldCharType="end"/>
            </w:r>
          </w:hyperlink>
        </w:p>
        <w:p w14:paraId="0EA9EA00" w14:textId="439D73AC"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69" w:history="1">
            <w:r w:rsidRPr="00D57AB9">
              <w:rPr>
                <w:rStyle w:val="Hipervnculo"/>
                <w:rFonts w:ascii="Gadugi" w:eastAsia="Gadugi" w:hAnsi="Gadugi" w:cs="Gadugi"/>
                <w:noProof/>
              </w:rPr>
              <w:t>1.3.</w:t>
            </w:r>
            <w:r>
              <w:rPr>
                <w:rFonts w:asciiTheme="minorHAnsi" w:eastAsiaTheme="minorEastAsia" w:hAnsiTheme="minorHAnsi" w:cstheme="minorBidi"/>
                <w:noProof/>
                <w:sz w:val="22"/>
              </w:rPr>
              <w:tab/>
            </w:r>
            <w:r w:rsidRPr="00D57AB9">
              <w:rPr>
                <w:rStyle w:val="Hipervnculo"/>
                <w:rFonts w:ascii="Gadugi" w:eastAsia="Gadugi" w:hAnsi="Gadugi" w:cs="Gadugi"/>
                <w:noProof/>
              </w:rPr>
              <w:t>CRITERIOS DE OPERACIÓN DE LOS GRUPOS ELECTROGENOS</w:t>
            </w:r>
            <w:r>
              <w:rPr>
                <w:noProof/>
                <w:webHidden/>
              </w:rPr>
              <w:tab/>
            </w:r>
            <w:r>
              <w:rPr>
                <w:noProof/>
                <w:webHidden/>
              </w:rPr>
              <w:fldChar w:fldCharType="begin"/>
            </w:r>
            <w:r>
              <w:rPr>
                <w:noProof/>
                <w:webHidden/>
              </w:rPr>
              <w:instrText xml:space="preserve"> PAGEREF _Toc188539069 \h </w:instrText>
            </w:r>
            <w:r>
              <w:rPr>
                <w:noProof/>
                <w:webHidden/>
              </w:rPr>
            </w:r>
            <w:r>
              <w:rPr>
                <w:noProof/>
                <w:webHidden/>
              </w:rPr>
              <w:fldChar w:fldCharType="separate"/>
            </w:r>
            <w:r>
              <w:rPr>
                <w:noProof/>
                <w:webHidden/>
              </w:rPr>
              <w:t>8</w:t>
            </w:r>
            <w:r>
              <w:rPr>
                <w:noProof/>
                <w:webHidden/>
              </w:rPr>
              <w:fldChar w:fldCharType="end"/>
            </w:r>
          </w:hyperlink>
        </w:p>
        <w:p w14:paraId="2782BD7F" w14:textId="7E8DBCB3" w:rsidR="00454394" w:rsidRDefault="00454394">
          <w:pPr>
            <w:pStyle w:val="TDC3"/>
            <w:rPr>
              <w:rFonts w:asciiTheme="minorHAnsi" w:hAnsiTheme="minorHAnsi" w:cstheme="minorBidi"/>
              <w:noProof/>
              <w:sz w:val="22"/>
            </w:rPr>
          </w:pPr>
          <w:hyperlink w:anchor="_Toc188539070" w:history="1">
            <w:r w:rsidRPr="00D57AB9">
              <w:rPr>
                <w:rStyle w:val="Hipervnculo"/>
                <w:rFonts w:ascii="Gadugi" w:eastAsia="Gadugi" w:hAnsi="Gadugi" w:cs="Gadugi"/>
                <w:noProof/>
              </w:rPr>
              <w:t>1.3.1.</w:t>
            </w:r>
            <w:r>
              <w:rPr>
                <w:rFonts w:asciiTheme="minorHAnsi" w:hAnsiTheme="minorHAnsi" w:cstheme="minorBidi"/>
                <w:noProof/>
                <w:sz w:val="22"/>
              </w:rPr>
              <w:tab/>
            </w:r>
            <w:r w:rsidRPr="00D57AB9">
              <w:rPr>
                <w:rStyle w:val="Hipervnculo"/>
                <w:rFonts w:ascii="Gadugi" w:eastAsia="Gadugi" w:hAnsi="Gadugi" w:cs="Gadugi"/>
                <w:noProof/>
              </w:rPr>
              <w:t>Régimen Continuo (Prime)</w:t>
            </w:r>
            <w:r>
              <w:rPr>
                <w:noProof/>
                <w:webHidden/>
              </w:rPr>
              <w:tab/>
            </w:r>
            <w:r>
              <w:rPr>
                <w:noProof/>
                <w:webHidden/>
              </w:rPr>
              <w:fldChar w:fldCharType="begin"/>
            </w:r>
            <w:r>
              <w:rPr>
                <w:noProof/>
                <w:webHidden/>
              </w:rPr>
              <w:instrText xml:space="preserve"> PAGEREF _Toc188539070 \h </w:instrText>
            </w:r>
            <w:r>
              <w:rPr>
                <w:noProof/>
                <w:webHidden/>
              </w:rPr>
            </w:r>
            <w:r>
              <w:rPr>
                <w:noProof/>
                <w:webHidden/>
              </w:rPr>
              <w:fldChar w:fldCharType="separate"/>
            </w:r>
            <w:r>
              <w:rPr>
                <w:noProof/>
                <w:webHidden/>
              </w:rPr>
              <w:t>9</w:t>
            </w:r>
            <w:r>
              <w:rPr>
                <w:noProof/>
                <w:webHidden/>
              </w:rPr>
              <w:fldChar w:fldCharType="end"/>
            </w:r>
          </w:hyperlink>
        </w:p>
        <w:p w14:paraId="5DAC6D27" w14:textId="1BDBA5BC" w:rsidR="00454394" w:rsidRDefault="00454394">
          <w:pPr>
            <w:pStyle w:val="TDC1"/>
            <w:tabs>
              <w:tab w:val="left" w:pos="1473"/>
              <w:tab w:val="right" w:leader="dot" w:pos="8828"/>
            </w:tabs>
            <w:rPr>
              <w:rFonts w:asciiTheme="minorHAnsi" w:eastAsiaTheme="minorEastAsia" w:hAnsiTheme="minorHAnsi" w:cstheme="minorBidi"/>
              <w:noProof/>
              <w:sz w:val="22"/>
            </w:rPr>
          </w:pPr>
          <w:hyperlink w:anchor="_Toc188539071" w:history="1">
            <w:r w:rsidRPr="00D57AB9">
              <w:rPr>
                <w:rStyle w:val="Hipervnculo"/>
                <w:rFonts w:ascii="Gadugi" w:eastAsia="Gadugi" w:hAnsi="Gadugi" w:cs="Gadugi"/>
                <w:b/>
                <w:noProof/>
              </w:rPr>
              <w:t>2.</w:t>
            </w:r>
            <w:r>
              <w:rPr>
                <w:rFonts w:asciiTheme="minorHAnsi" w:eastAsiaTheme="minorEastAsia" w:hAnsiTheme="minorHAnsi" w:cstheme="minorBidi"/>
                <w:noProof/>
                <w:sz w:val="22"/>
              </w:rPr>
              <w:tab/>
            </w:r>
            <w:r w:rsidRPr="00D57AB9">
              <w:rPr>
                <w:rStyle w:val="Hipervnculo"/>
                <w:rFonts w:ascii="Gadugi" w:eastAsia="Gadugi" w:hAnsi="Gadugi" w:cs="Gadugi"/>
                <w:b/>
                <w:noProof/>
              </w:rPr>
              <w:t>REGULACIONES OBLIGATORIAS Y NORMAS DE REFERENCIA</w:t>
            </w:r>
            <w:r>
              <w:rPr>
                <w:noProof/>
                <w:webHidden/>
              </w:rPr>
              <w:tab/>
            </w:r>
            <w:r>
              <w:rPr>
                <w:noProof/>
                <w:webHidden/>
              </w:rPr>
              <w:fldChar w:fldCharType="begin"/>
            </w:r>
            <w:r>
              <w:rPr>
                <w:noProof/>
                <w:webHidden/>
              </w:rPr>
              <w:instrText xml:space="preserve"> PAGEREF _Toc188539071 \h </w:instrText>
            </w:r>
            <w:r>
              <w:rPr>
                <w:noProof/>
                <w:webHidden/>
              </w:rPr>
            </w:r>
            <w:r>
              <w:rPr>
                <w:noProof/>
                <w:webHidden/>
              </w:rPr>
              <w:fldChar w:fldCharType="separate"/>
            </w:r>
            <w:r>
              <w:rPr>
                <w:noProof/>
                <w:webHidden/>
              </w:rPr>
              <w:t>10</w:t>
            </w:r>
            <w:r>
              <w:rPr>
                <w:noProof/>
                <w:webHidden/>
              </w:rPr>
              <w:fldChar w:fldCharType="end"/>
            </w:r>
          </w:hyperlink>
        </w:p>
        <w:p w14:paraId="3AE45DF7" w14:textId="7E15E976"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72" w:history="1">
            <w:r w:rsidRPr="00D57AB9">
              <w:rPr>
                <w:rStyle w:val="Hipervnculo"/>
                <w:rFonts w:ascii="Gadugi" w:eastAsia="Gadugi" w:hAnsi="Gadugi" w:cs="Gadugi"/>
                <w:noProof/>
              </w:rPr>
              <w:t>2.1.</w:t>
            </w:r>
            <w:r>
              <w:rPr>
                <w:rFonts w:asciiTheme="minorHAnsi" w:eastAsiaTheme="minorEastAsia" w:hAnsiTheme="minorHAnsi" w:cstheme="minorBidi"/>
                <w:noProof/>
                <w:sz w:val="22"/>
              </w:rPr>
              <w:tab/>
            </w:r>
            <w:r w:rsidRPr="00D57AB9">
              <w:rPr>
                <w:rStyle w:val="Hipervnculo"/>
                <w:rFonts w:ascii="Gadugi" w:eastAsia="Gadugi" w:hAnsi="Gadugi" w:cs="Gadugi"/>
                <w:noProof/>
              </w:rPr>
              <w:t>ORGANISMOS DE NORMALIZACIÓN Y CERTIFICACIÓN</w:t>
            </w:r>
            <w:r>
              <w:rPr>
                <w:noProof/>
                <w:webHidden/>
              </w:rPr>
              <w:tab/>
            </w:r>
            <w:r>
              <w:rPr>
                <w:noProof/>
                <w:webHidden/>
              </w:rPr>
              <w:fldChar w:fldCharType="begin"/>
            </w:r>
            <w:r>
              <w:rPr>
                <w:noProof/>
                <w:webHidden/>
              </w:rPr>
              <w:instrText xml:space="preserve"> PAGEREF _Toc188539072 \h </w:instrText>
            </w:r>
            <w:r>
              <w:rPr>
                <w:noProof/>
                <w:webHidden/>
              </w:rPr>
            </w:r>
            <w:r>
              <w:rPr>
                <w:noProof/>
                <w:webHidden/>
              </w:rPr>
              <w:fldChar w:fldCharType="separate"/>
            </w:r>
            <w:r>
              <w:rPr>
                <w:noProof/>
                <w:webHidden/>
              </w:rPr>
              <w:t>10</w:t>
            </w:r>
            <w:r>
              <w:rPr>
                <w:noProof/>
                <w:webHidden/>
              </w:rPr>
              <w:fldChar w:fldCharType="end"/>
            </w:r>
          </w:hyperlink>
        </w:p>
        <w:p w14:paraId="65F59CAD" w14:textId="52A40A57"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73" w:history="1">
            <w:r w:rsidRPr="00D57AB9">
              <w:rPr>
                <w:rStyle w:val="Hipervnculo"/>
                <w:rFonts w:ascii="Gadugi" w:eastAsia="Gadugi" w:hAnsi="Gadugi" w:cs="Gadugi"/>
                <w:noProof/>
              </w:rPr>
              <w:t>2.2.</w:t>
            </w:r>
            <w:r>
              <w:rPr>
                <w:rFonts w:asciiTheme="minorHAnsi" w:eastAsiaTheme="minorEastAsia" w:hAnsiTheme="minorHAnsi" w:cstheme="minorBidi"/>
                <w:noProof/>
                <w:sz w:val="22"/>
              </w:rPr>
              <w:tab/>
            </w:r>
            <w:r w:rsidRPr="00D57AB9">
              <w:rPr>
                <w:rStyle w:val="Hipervnculo"/>
                <w:rFonts w:ascii="Gadugi" w:eastAsia="Gadugi" w:hAnsi="Gadugi" w:cs="Gadugi"/>
                <w:noProof/>
              </w:rPr>
              <w:t>NORMALIZACION EN COLOMBIAS</w:t>
            </w:r>
            <w:r>
              <w:rPr>
                <w:noProof/>
                <w:webHidden/>
              </w:rPr>
              <w:tab/>
            </w:r>
            <w:r>
              <w:rPr>
                <w:noProof/>
                <w:webHidden/>
              </w:rPr>
              <w:fldChar w:fldCharType="begin"/>
            </w:r>
            <w:r>
              <w:rPr>
                <w:noProof/>
                <w:webHidden/>
              </w:rPr>
              <w:instrText xml:space="preserve"> PAGEREF _Toc188539073 \h </w:instrText>
            </w:r>
            <w:r>
              <w:rPr>
                <w:noProof/>
                <w:webHidden/>
              </w:rPr>
            </w:r>
            <w:r>
              <w:rPr>
                <w:noProof/>
                <w:webHidden/>
              </w:rPr>
              <w:fldChar w:fldCharType="separate"/>
            </w:r>
            <w:r>
              <w:rPr>
                <w:noProof/>
                <w:webHidden/>
              </w:rPr>
              <w:t>10</w:t>
            </w:r>
            <w:r>
              <w:rPr>
                <w:noProof/>
                <w:webHidden/>
              </w:rPr>
              <w:fldChar w:fldCharType="end"/>
            </w:r>
          </w:hyperlink>
        </w:p>
        <w:p w14:paraId="1A8891C9" w14:textId="59E4444E" w:rsidR="00454394" w:rsidRDefault="00454394">
          <w:pPr>
            <w:pStyle w:val="TDC1"/>
            <w:tabs>
              <w:tab w:val="left" w:pos="1473"/>
              <w:tab w:val="right" w:leader="dot" w:pos="8828"/>
            </w:tabs>
            <w:rPr>
              <w:rFonts w:asciiTheme="minorHAnsi" w:eastAsiaTheme="minorEastAsia" w:hAnsiTheme="minorHAnsi" w:cstheme="minorBidi"/>
              <w:noProof/>
              <w:sz w:val="22"/>
            </w:rPr>
          </w:pPr>
          <w:hyperlink w:anchor="_Toc188539074" w:history="1">
            <w:r w:rsidRPr="00D57AB9">
              <w:rPr>
                <w:rStyle w:val="Hipervnculo"/>
                <w:rFonts w:ascii="Gadugi" w:eastAsia="Gadugi" w:hAnsi="Gadugi" w:cs="Gadugi"/>
                <w:b/>
                <w:noProof/>
              </w:rPr>
              <w:t>3.</w:t>
            </w:r>
            <w:r>
              <w:rPr>
                <w:rFonts w:asciiTheme="minorHAnsi" w:eastAsiaTheme="minorEastAsia" w:hAnsiTheme="minorHAnsi" w:cstheme="minorBidi"/>
                <w:noProof/>
                <w:sz w:val="22"/>
              </w:rPr>
              <w:tab/>
            </w:r>
            <w:r w:rsidRPr="00D57AB9">
              <w:rPr>
                <w:rStyle w:val="Hipervnculo"/>
                <w:rFonts w:ascii="Gadugi" w:eastAsia="Gadugi" w:hAnsi="Gadugi" w:cs="Gadugi"/>
                <w:b/>
                <w:noProof/>
              </w:rPr>
              <w:t>DISEÑO Y CALCULO DE LAS INSTALACIONES</w:t>
            </w:r>
            <w:r>
              <w:rPr>
                <w:noProof/>
                <w:webHidden/>
              </w:rPr>
              <w:tab/>
            </w:r>
            <w:r>
              <w:rPr>
                <w:noProof/>
                <w:webHidden/>
              </w:rPr>
              <w:fldChar w:fldCharType="begin"/>
            </w:r>
            <w:r>
              <w:rPr>
                <w:noProof/>
                <w:webHidden/>
              </w:rPr>
              <w:instrText xml:space="preserve"> PAGEREF _Toc188539074 \h </w:instrText>
            </w:r>
            <w:r>
              <w:rPr>
                <w:noProof/>
                <w:webHidden/>
              </w:rPr>
            </w:r>
            <w:r>
              <w:rPr>
                <w:noProof/>
                <w:webHidden/>
              </w:rPr>
              <w:fldChar w:fldCharType="separate"/>
            </w:r>
            <w:r>
              <w:rPr>
                <w:noProof/>
                <w:webHidden/>
              </w:rPr>
              <w:t>11</w:t>
            </w:r>
            <w:r>
              <w:rPr>
                <w:noProof/>
                <w:webHidden/>
              </w:rPr>
              <w:fldChar w:fldCharType="end"/>
            </w:r>
          </w:hyperlink>
        </w:p>
        <w:p w14:paraId="044D85F1" w14:textId="059651E2"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75" w:history="1">
            <w:r w:rsidRPr="00D57AB9">
              <w:rPr>
                <w:rStyle w:val="Hipervnculo"/>
                <w:rFonts w:ascii="Gadugi" w:eastAsia="Gadugi" w:hAnsi="Gadugi" w:cs="Gadugi"/>
                <w:noProof/>
              </w:rPr>
              <w:t>3.1.</w:t>
            </w:r>
            <w:r>
              <w:rPr>
                <w:rFonts w:asciiTheme="minorHAnsi" w:eastAsiaTheme="minorEastAsia" w:hAnsiTheme="minorHAnsi" w:cstheme="minorBidi"/>
                <w:noProof/>
                <w:sz w:val="22"/>
              </w:rPr>
              <w:tab/>
            </w:r>
            <w:r w:rsidRPr="00D57AB9">
              <w:rPr>
                <w:rStyle w:val="Hipervnculo"/>
                <w:rFonts w:ascii="Gadugi" w:eastAsia="Gadugi" w:hAnsi="Gadugi" w:cs="Gadugi"/>
                <w:noProof/>
              </w:rPr>
              <w:t>PREMISAS IMPORTANTES PARA EL DISEÑO Y CALCULO DE LAS INSTALACIONES</w:t>
            </w:r>
            <w:r>
              <w:rPr>
                <w:noProof/>
                <w:webHidden/>
              </w:rPr>
              <w:tab/>
            </w:r>
            <w:r>
              <w:rPr>
                <w:noProof/>
                <w:webHidden/>
              </w:rPr>
              <w:fldChar w:fldCharType="begin"/>
            </w:r>
            <w:r>
              <w:rPr>
                <w:noProof/>
                <w:webHidden/>
              </w:rPr>
              <w:instrText xml:space="preserve"> PAGEREF _Toc188539075 \h </w:instrText>
            </w:r>
            <w:r>
              <w:rPr>
                <w:noProof/>
                <w:webHidden/>
              </w:rPr>
            </w:r>
            <w:r>
              <w:rPr>
                <w:noProof/>
                <w:webHidden/>
              </w:rPr>
              <w:fldChar w:fldCharType="separate"/>
            </w:r>
            <w:r>
              <w:rPr>
                <w:noProof/>
                <w:webHidden/>
              </w:rPr>
              <w:t>12</w:t>
            </w:r>
            <w:r>
              <w:rPr>
                <w:noProof/>
                <w:webHidden/>
              </w:rPr>
              <w:fldChar w:fldCharType="end"/>
            </w:r>
          </w:hyperlink>
        </w:p>
        <w:p w14:paraId="2D1831B0" w14:textId="030F12C0"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76" w:history="1">
            <w:r w:rsidRPr="00D57AB9">
              <w:rPr>
                <w:rStyle w:val="Hipervnculo"/>
                <w:rFonts w:ascii="Gadugi" w:eastAsia="Gadugi" w:hAnsi="Gadugi" w:cs="Gadugi"/>
                <w:noProof/>
              </w:rPr>
              <w:t>3.2.</w:t>
            </w:r>
            <w:r>
              <w:rPr>
                <w:rFonts w:asciiTheme="minorHAnsi" w:eastAsiaTheme="minorEastAsia" w:hAnsiTheme="minorHAnsi" w:cstheme="minorBidi"/>
                <w:noProof/>
                <w:sz w:val="22"/>
              </w:rPr>
              <w:tab/>
            </w:r>
            <w:r w:rsidRPr="00D57AB9">
              <w:rPr>
                <w:rStyle w:val="Hipervnculo"/>
                <w:rFonts w:ascii="Gadugi" w:eastAsia="Gadugi" w:hAnsi="Gadugi" w:cs="Gadugi"/>
                <w:noProof/>
              </w:rPr>
              <w:t>FACTORES PARA EL DISEÑO DE UNA CENTRAL ELECTRICA</w:t>
            </w:r>
            <w:r>
              <w:rPr>
                <w:noProof/>
                <w:webHidden/>
              </w:rPr>
              <w:tab/>
            </w:r>
            <w:r>
              <w:rPr>
                <w:noProof/>
                <w:webHidden/>
              </w:rPr>
              <w:fldChar w:fldCharType="begin"/>
            </w:r>
            <w:r>
              <w:rPr>
                <w:noProof/>
                <w:webHidden/>
              </w:rPr>
              <w:instrText xml:space="preserve"> PAGEREF _Toc188539076 \h </w:instrText>
            </w:r>
            <w:r>
              <w:rPr>
                <w:noProof/>
                <w:webHidden/>
              </w:rPr>
            </w:r>
            <w:r>
              <w:rPr>
                <w:noProof/>
                <w:webHidden/>
              </w:rPr>
              <w:fldChar w:fldCharType="separate"/>
            </w:r>
            <w:r>
              <w:rPr>
                <w:noProof/>
                <w:webHidden/>
              </w:rPr>
              <w:t>13</w:t>
            </w:r>
            <w:r>
              <w:rPr>
                <w:noProof/>
                <w:webHidden/>
              </w:rPr>
              <w:fldChar w:fldCharType="end"/>
            </w:r>
          </w:hyperlink>
        </w:p>
        <w:p w14:paraId="1436FD30" w14:textId="61AA324B"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77" w:history="1">
            <w:r w:rsidRPr="00D57AB9">
              <w:rPr>
                <w:rStyle w:val="Hipervnculo"/>
                <w:rFonts w:ascii="Gadugi" w:eastAsia="Gadugi" w:hAnsi="Gadugi" w:cs="Gadugi"/>
                <w:noProof/>
              </w:rPr>
              <w:t>3.3.</w:t>
            </w:r>
            <w:r>
              <w:rPr>
                <w:rFonts w:asciiTheme="minorHAnsi" w:eastAsiaTheme="minorEastAsia" w:hAnsiTheme="minorHAnsi" w:cstheme="minorBidi"/>
                <w:noProof/>
                <w:sz w:val="22"/>
              </w:rPr>
              <w:tab/>
            </w:r>
            <w:r w:rsidRPr="00D57AB9">
              <w:rPr>
                <w:rStyle w:val="Hipervnculo"/>
                <w:rFonts w:ascii="Gadugi" w:eastAsia="Gadugi" w:hAnsi="Gadugi" w:cs="Gadugi"/>
                <w:noProof/>
              </w:rPr>
              <w:t>TIPO DE APLICACIÓN</w:t>
            </w:r>
            <w:r>
              <w:rPr>
                <w:noProof/>
                <w:webHidden/>
              </w:rPr>
              <w:tab/>
            </w:r>
            <w:r>
              <w:rPr>
                <w:noProof/>
                <w:webHidden/>
              </w:rPr>
              <w:fldChar w:fldCharType="begin"/>
            </w:r>
            <w:r>
              <w:rPr>
                <w:noProof/>
                <w:webHidden/>
              </w:rPr>
              <w:instrText xml:space="preserve"> PAGEREF _Toc188539077 \h </w:instrText>
            </w:r>
            <w:r>
              <w:rPr>
                <w:noProof/>
                <w:webHidden/>
              </w:rPr>
            </w:r>
            <w:r>
              <w:rPr>
                <w:noProof/>
                <w:webHidden/>
              </w:rPr>
              <w:fldChar w:fldCharType="separate"/>
            </w:r>
            <w:r>
              <w:rPr>
                <w:noProof/>
                <w:webHidden/>
              </w:rPr>
              <w:t>13</w:t>
            </w:r>
            <w:r>
              <w:rPr>
                <w:noProof/>
                <w:webHidden/>
              </w:rPr>
              <w:fldChar w:fldCharType="end"/>
            </w:r>
          </w:hyperlink>
        </w:p>
        <w:p w14:paraId="1C9BE285" w14:textId="6533D1D7"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78" w:history="1">
            <w:r w:rsidRPr="00D57AB9">
              <w:rPr>
                <w:rStyle w:val="Hipervnculo"/>
                <w:rFonts w:ascii="Gadugi" w:eastAsia="Gadugi" w:hAnsi="Gadugi" w:cs="Gadugi"/>
                <w:noProof/>
              </w:rPr>
              <w:t>3.4.</w:t>
            </w:r>
            <w:r>
              <w:rPr>
                <w:rFonts w:asciiTheme="minorHAnsi" w:eastAsiaTheme="minorEastAsia" w:hAnsiTheme="minorHAnsi" w:cstheme="minorBidi"/>
                <w:noProof/>
                <w:sz w:val="22"/>
              </w:rPr>
              <w:tab/>
            </w:r>
            <w:r w:rsidRPr="00D57AB9">
              <w:rPr>
                <w:rStyle w:val="Hipervnculo"/>
                <w:rFonts w:ascii="Gadugi" w:eastAsia="Gadugi" w:hAnsi="Gadugi" w:cs="Gadugi"/>
                <w:noProof/>
              </w:rPr>
              <w:t>FACTORES PARA LA UBICACIÓN DE LA CENTRAL ELECTRICA:</w:t>
            </w:r>
            <w:r>
              <w:rPr>
                <w:noProof/>
                <w:webHidden/>
              </w:rPr>
              <w:tab/>
            </w:r>
            <w:r>
              <w:rPr>
                <w:noProof/>
                <w:webHidden/>
              </w:rPr>
              <w:fldChar w:fldCharType="begin"/>
            </w:r>
            <w:r>
              <w:rPr>
                <w:noProof/>
                <w:webHidden/>
              </w:rPr>
              <w:instrText xml:space="preserve"> PAGEREF _Toc188539078 \h </w:instrText>
            </w:r>
            <w:r>
              <w:rPr>
                <w:noProof/>
                <w:webHidden/>
              </w:rPr>
            </w:r>
            <w:r>
              <w:rPr>
                <w:noProof/>
                <w:webHidden/>
              </w:rPr>
              <w:fldChar w:fldCharType="separate"/>
            </w:r>
            <w:r>
              <w:rPr>
                <w:noProof/>
                <w:webHidden/>
              </w:rPr>
              <w:t>14</w:t>
            </w:r>
            <w:r>
              <w:rPr>
                <w:noProof/>
                <w:webHidden/>
              </w:rPr>
              <w:fldChar w:fldCharType="end"/>
            </w:r>
          </w:hyperlink>
        </w:p>
        <w:p w14:paraId="234DD81E" w14:textId="6B46D4C0"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79" w:history="1">
            <w:r w:rsidRPr="00D57AB9">
              <w:rPr>
                <w:rStyle w:val="Hipervnculo"/>
                <w:rFonts w:ascii="Gadugi" w:eastAsia="Gadugi" w:hAnsi="Gadugi" w:cs="Gadugi"/>
                <w:noProof/>
              </w:rPr>
              <w:t>3.5.</w:t>
            </w:r>
            <w:r>
              <w:rPr>
                <w:rFonts w:asciiTheme="minorHAnsi" w:eastAsiaTheme="minorEastAsia" w:hAnsiTheme="minorHAnsi" w:cstheme="minorBidi"/>
                <w:noProof/>
                <w:sz w:val="22"/>
              </w:rPr>
              <w:tab/>
            </w:r>
            <w:r w:rsidRPr="00D57AB9">
              <w:rPr>
                <w:rStyle w:val="Hipervnculo"/>
                <w:rFonts w:ascii="Gadugi" w:eastAsia="Gadugi" w:hAnsi="Gadugi" w:cs="Gadugi"/>
                <w:noProof/>
              </w:rPr>
              <w:t>SUMINISTRO DE COMBUSTIBLE</w:t>
            </w:r>
            <w:r>
              <w:rPr>
                <w:noProof/>
                <w:webHidden/>
              </w:rPr>
              <w:tab/>
            </w:r>
            <w:r>
              <w:rPr>
                <w:noProof/>
                <w:webHidden/>
              </w:rPr>
              <w:fldChar w:fldCharType="begin"/>
            </w:r>
            <w:r>
              <w:rPr>
                <w:noProof/>
                <w:webHidden/>
              </w:rPr>
              <w:instrText xml:space="preserve"> PAGEREF _Toc188539079 \h </w:instrText>
            </w:r>
            <w:r>
              <w:rPr>
                <w:noProof/>
                <w:webHidden/>
              </w:rPr>
            </w:r>
            <w:r>
              <w:rPr>
                <w:noProof/>
                <w:webHidden/>
              </w:rPr>
              <w:fldChar w:fldCharType="separate"/>
            </w:r>
            <w:r>
              <w:rPr>
                <w:noProof/>
                <w:webHidden/>
              </w:rPr>
              <w:t>15</w:t>
            </w:r>
            <w:r>
              <w:rPr>
                <w:noProof/>
                <w:webHidden/>
              </w:rPr>
              <w:fldChar w:fldCharType="end"/>
            </w:r>
          </w:hyperlink>
        </w:p>
        <w:p w14:paraId="7C68BB88" w14:textId="1C7C47EA"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80" w:history="1">
            <w:r w:rsidRPr="00D57AB9">
              <w:rPr>
                <w:rStyle w:val="Hipervnculo"/>
                <w:rFonts w:ascii="Gadugi" w:eastAsia="Gadugi" w:hAnsi="Gadugi" w:cs="Gadugi"/>
                <w:noProof/>
              </w:rPr>
              <w:t>3.6.</w:t>
            </w:r>
            <w:r>
              <w:rPr>
                <w:rFonts w:asciiTheme="minorHAnsi" w:eastAsiaTheme="minorEastAsia" w:hAnsiTheme="minorHAnsi" w:cstheme="minorBidi"/>
                <w:noProof/>
                <w:sz w:val="22"/>
              </w:rPr>
              <w:tab/>
            </w:r>
            <w:r w:rsidRPr="00D57AB9">
              <w:rPr>
                <w:rStyle w:val="Hipervnculo"/>
                <w:rFonts w:ascii="Gadugi" w:eastAsia="Gadugi" w:hAnsi="Gadugi" w:cs="Gadugi"/>
                <w:noProof/>
              </w:rPr>
              <w:t>DISTANCIA DE LOS CENTROS DE DISTRIBUCION DE POTENCIA</w:t>
            </w:r>
            <w:r>
              <w:rPr>
                <w:noProof/>
                <w:webHidden/>
              </w:rPr>
              <w:tab/>
            </w:r>
            <w:r>
              <w:rPr>
                <w:noProof/>
                <w:webHidden/>
              </w:rPr>
              <w:fldChar w:fldCharType="begin"/>
            </w:r>
            <w:r>
              <w:rPr>
                <w:noProof/>
                <w:webHidden/>
              </w:rPr>
              <w:instrText xml:space="preserve"> PAGEREF _Toc188539080 \h </w:instrText>
            </w:r>
            <w:r>
              <w:rPr>
                <w:noProof/>
                <w:webHidden/>
              </w:rPr>
            </w:r>
            <w:r>
              <w:rPr>
                <w:noProof/>
                <w:webHidden/>
              </w:rPr>
              <w:fldChar w:fldCharType="separate"/>
            </w:r>
            <w:r>
              <w:rPr>
                <w:noProof/>
                <w:webHidden/>
              </w:rPr>
              <w:t>15</w:t>
            </w:r>
            <w:r>
              <w:rPr>
                <w:noProof/>
                <w:webHidden/>
              </w:rPr>
              <w:fldChar w:fldCharType="end"/>
            </w:r>
          </w:hyperlink>
        </w:p>
        <w:p w14:paraId="58EF38EE" w14:textId="136C7418"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81" w:history="1">
            <w:r w:rsidRPr="00D57AB9">
              <w:rPr>
                <w:rStyle w:val="Hipervnculo"/>
                <w:rFonts w:ascii="Gadugi" w:eastAsia="Gadugi" w:hAnsi="Gadugi" w:cs="Gadugi"/>
                <w:noProof/>
              </w:rPr>
              <w:t>3.7.</w:t>
            </w:r>
            <w:r>
              <w:rPr>
                <w:rFonts w:asciiTheme="minorHAnsi" w:eastAsiaTheme="minorEastAsia" w:hAnsiTheme="minorHAnsi" w:cstheme="minorBidi"/>
                <w:noProof/>
                <w:sz w:val="22"/>
              </w:rPr>
              <w:tab/>
            </w:r>
            <w:r w:rsidRPr="00D57AB9">
              <w:rPr>
                <w:rStyle w:val="Hipervnculo"/>
                <w:rFonts w:ascii="Gadugi" w:eastAsia="Gadugi" w:hAnsi="Gadugi" w:cs="Gadugi"/>
                <w:noProof/>
              </w:rPr>
              <w:t>CONTAMINACION AMBIENTAL</w:t>
            </w:r>
            <w:r>
              <w:rPr>
                <w:noProof/>
                <w:webHidden/>
              </w:rPr>
              <w:tab/>
            </w:r>
            <w:r>
              <w:rPr>
                <w:noProof/>
                <w:webHidden/>
              </w:rPr>
              <w:fldChar w:fldCharType="begin"/>
            </w:r>
            <w:r>
              <w:rPr>
                <w:noProof/>
                <w:webHidden/>
              </w:rPr>
              <w:instrText xml:space="preserve"> PAGEREF _Toc188539081 \h </w:instrText>
            </w:r>
            <w:r>
              <w:rPr>
                <w:noProof/>
                <w:webHidden/>
              </w:rPr>
            </w:r>
            <w:r>
              <w:rPr>
                <w:noProof/>
                <w:webHidden/>
              </w:rPr>
              <w:fldChar w:fldCharType="separate"/>
            </w:r>
            <w:r>
              <w:rPr>
                <w:noProof/>
                <w:webHidden/>
              </w:rPr>
              <w:t>16</w:t>
            </w:r>
            <w:r>
              <w:rPr>
                <w:noProof/>
                <w:webHidden/>
              </w:rPr>
              <w:fldChar w:fldCharType="end"/>
            </w:r>
          </w:hyperlink>
        </w:p>
        <w:p w14:paraId="6C67EB49" w14:textId="0EB13A1F" w:rsidR="00454394" w:rsidRDefault="00454394">
          <w:pPr>
            <w:pStyle w:val="TDC1"/>
            <w:tabs>
              <w:tab w:val="left" w:pos="1473"/>
              <w:tab w:val="right" w:leader="dot" w:pos="8828"/>
            </w:tabs>
            <w:rPr>
              <w:rFonts w:asciiTheme="minorHAnsi" w:eastAsiaTheme="minorEastAsia" w:hAnsiTheme="minorHAnsi" w:cstheme="minorBidi"/>
              <w:noProof/>
              <w:sz w:val="22"/>
            </w:rPr>
          </w:pPr>
          <w:hyperlink w:anchor="_Toc188539082" w:history="1">
            <w:r w:rsidRPr="00D57AB9">
              <w:rPr>
                <w:rStyle w:val="Hipervnculo"/>
                <w:rFonts w:ascii="Gadugi" w:eastAsia="Gadugi" w:hAnsi="Gadugi" w:cs="Gadugi"/>
                <w:b/>
                <w:noProof/>
              </w:rPr>
              <w:t>4.</w:t>
            </w:r>
            <w:r>
              <w:rPr>
                <w:rFonts w:asciiTheme="minorHAnsi" w:eastAsiaTheme="minorEastAsia" w:hAnsiTheme="minorHAnsi" w:cstheme="minorBidi"/>
                <w:noProof/>
                <w:sz w:val="22"/>
              </w:rPr>
              <w:tab/>
            </w:r>
            <w:r w:rsidRPr="00D57AB9">
              <w:rPr>
                <w:rStyle w:val="Hipervnculo"/>
                <w:rFonts w:ascii="Gadugi" w:eastAsia="Gadugi" w:hAnsi="Gadugi" w:cs="Gadugi"/>
                <w:b/>
                <w:noProof/>
              </w:rPr>
              <w:t>TABLEROS ELECTRICOS DE POTENCIA DE LA CENTRAL DE GENERACION</w:t>
            </w:r>
            <w:r>
              <w:rPr>
                <w:noProof/>
                <w:webHidden/>
              </w:rPr>
              <w:lastRenderedPageBreak/>
              <w:tab/>
            </w:r>
            <w:r>
              <w:rPr>
                <w:noProof/>
                <w:webHidden/>
              </w:rPr>
              <w:fldChar w:fldCharType="begin"/>
            </w:r>
            <w:r>
              <w:rPr>
                <w:noProof/>
                <w:webHidden/>
              </w:rPr>
              <w:instrText xml:space="preserve"> PAGEREF _Toc188539082 \h </w:instrText>
            </w:r>
            <w:r>
              <w:rPr>
                <w:noProof/>
                <w:webHidden/>
              </w:rPr>
            </w:r>
            <w:r>
              <w:rPr>
                <w:noProof/>
                <w:webHidden/>
              </w:rPr>
              <w:fldChar w:fldCharType="separate"/>
            </w:r>
            <w:r>
              <w:rPr>
                <w:noProof/>
                <w:webHidden/>
              </w:rPr>
              <w:t>16</w:t>
            </w:r>
            <w:r>
              <w:rPr>
                <w:noProof/>
                <w:webHidden/>
              </w:rPr>
              <w:fldChar w:fldCharType="end"/>
            </w:r>
          </w:hyperlink>
        </w:p>
        <w:p w14:paraId="69BA2DC7" w14:textId="506350E2"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83" w:history="1">
            <w:r w:rsidRPr="00D57AB9">
              <w:rPr>
                <w:rStyle w:val="Hipervnculo"/>
                <w:rFonts w:ascii="Gadugi" w:eastAsia="Gadugi" w:hAnsi="Gadugi" w:cs="Gadugi"/>
                <w:noProof/>
              </w:rPr>
              <w:t>4.1.</w:t>
            </w:r>
            <w:r>
              <w:rPr>
                <w:rFonts w:asciiTheme="minorHAnsi" w:eastAsiaTheme="minorEastAsia" w:hAnsiTheme="minorHAnsi" w:cstheme="minorBidi"/>
                <w:noProof/>
                <w:sz w:val="22"/>
              </w:rPr>
              <w:tab/>
            </w:r>
            <w:r w:rsidRPr="00D57AB9">
              <w:rPr>
                <w:rStyle w:val="Hipervnculo"/>
                <w:rFonts w:ascii="Gadugi" w:eastAsia="Gadugi" w:hAnsi="Gadugi" w:cs="Gadugi"/>
                <w:noProof/>
              </w:rPr>
              <w:t>CLASIFICACION DE LOS TABLEROS PARA CENTRALES ELECTRICAS</w:t>
            </w:r>
            <w:r>
              <w:rPr>
                <w:noProof/>
                <w:webHidden/>
              </w:rPr>
              <w:tab/>
            </w:r>
            <w:r>
              <w:rPr>
                <w:noProof/>
                <w:webHidden/>
              </w:rPr>
              <w:fldChar w:fldCharType="begin"/>
            </w:r>
            <w:r>
              <w:rPr>
                <w:noProof/>
                <w:webHidden/>
              </w:rPr>
              <w:instrText xml:space="preserve"> PAGEREF _Toc188539083 \h </w:instrText>
            </w:r>
            <w:r>
              <w:rPr>
                <w:noProof/>
                <w:webHidden/>
              </w:rPr>
            </w:r>
            <w:r>
              <w:rPr>
                <w:noProof/>
                <w:webHidden/>
              </w:rPr>
              <w:fldChar w:fldCharType="separate"/>
            </w:r>
            <w:r>
              <w:rPr>
                <w:noProof/>
                <w:webHidden/>
              </w:rPr>
              <w:t>16</w:t>
            </w:r>
            <w:r>
              <w:rPr>
                <w:noProof/>
                <w:webHidden/>
              </w:rPr>
              <w:fldChar w:fldCharType="end"/>
            </w:r>
          </w:hyperlink>
        </w:p>
        <w:p w14:paraId="267B189D" w14:textId="7CE200A4"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84" w:history="1">
            <w:r w:rsidRPr="00D57AB9">
              <w:rPr>
                <w:rStyle w:val="Hipervnculo"/>
                <w:rFonts w:ascii="Gadugi" w:eastAsia="Gadugi" w:hAnsi="Gadugi" w:cs="Gadugi"/>
                <w:noProof/>
              </w:rPr>
              <w:t>4.2.</w:t>
            </w:r>
            <w:r>
              <w:rPr>
                <w:rFonts w:asciiTheme="minorHAnsi" w:eastAsiaTheme="minorEastAsia" w:hAnsiTheme="minorHAnsi" w:cstheme="minorBidi"/>
                <w:noProof/>
                <w:sz w:val="22"/>
              </w:rPr>
              <w:tab/>
            </w:r>
            <w:r w:rsidRPr="00D57AB9">
              <w:rPr>
                <w:rStyle w:val="Hipervnculo"/>
                <w:rFonts w:ascii="Gadugi" w:eastAsia="Gadugi" w:hAnsi="Gadugi" w:cs="Gadugi"/>
                <w:noProof/>
              </w:rPr>
              <w:t>CENTROS DE DISTRIBUCION DE POTENCIA</w:t>
            </w:r>
            <w:r>
              <w:rPr>
                <w:noProof/>
                <w:webHidden/>
              </w:rPr>
              <w:tab/>
            </w:r>
            <w:r>
              <w:rPr>
                <w:noProof/>
                <w:webHidden/>
              </w:rPr>
              <w:fldChar w:fldCharType="begin"/>
            </w:r>
            <w:r>
              <w:rPr>
                <w:noProof/>
                <w:webHidden/>
              </w:rPr>
              <w:instrText xml:space="preserve"> PAGEREF _Toc188539084 \h </w:instrText>
            </w:r>
            <w:r>
              <w:rPr>
                <w:noProof/>
                <w:webHidden/>
              </w:rPr>
            </w:r>
            <w:r>
              <w:rPr>
                <w:noProof/>
                <w:webHidden/>
              </w:rPr>
              <w:fldChar w:fldCharType="separate"/>
            </w:r>
            <w:r>
              <w:rPr>
                <w:noProof/>
                <w:webHidden/>
              </w:rPr>
              <w:t>17</w:t>
            </w:r>
            <w:r>
              <w:rPr>
                <w:noProof/>
                <w:webHidden/>
              </w:rPr>
              <w:fldChar w:fldCharType="end"/>
            </w:r>
          </w:hyperlink>
        </w:p>
        <w:p w14:paraId="5B6C1966" w14:textId="46E9174B"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85" w:history="1">
            <w:r w:rsidRPr="00D57AB9">
              <w:rPr>
                <w:rStyle w:val="Hipervnculo"/>
                <w:rFonts w:ascii="Gadugi" w:eastAsia="Gadugi" w:hAnsi="Gadugi" w:cs="Gadugi"/>
                <w:noProof/>
              </w:rPr>
              <w:t>4.3.</w:t>
            </w:r>
            <w:r>
              <w:rPr>
                <w:rFonts w:asciiTheme="minorHAnsi" w:eastAsiaTheme="minorEastAsia" w:hAnsiTheme="minorHAnsi" w:cstheme="minorBidi"/>
                <w:noProof/>
                <w:sz w:val="22"/>
              </w:rPr>
              <w:tab/>
            </w:r>
            <w:r w:rsidRPr="00D57AB9">
              <w:rPr>
                <w:rStyle w:val="Hipervnculo"/>
                <w:rFonts w:ascii="Gadugi" w:eastAsia="Gadugi" w:hAnsi="Gadugi" w:cs="Gadugi"/>
                <w:noProof/>
              </w:rPr>
              <w:t>TABLEROS DE CONTROL</w:t>
            </w:r>
            <w:r>
              <w:rPr>
                <w:noProof/>
                <w:webHidden/>
              </w:rPr>
              <w:tab/>
            </w:r>
            <w:r>
              <w:rPr>
                <w:noProof/>
                <w:webHidden/>
              </w:rPr>
              <w:fldChar w:fldCharType="begin"/>
            </w:r>
            <w:r>
              <w:rPr>
                <w:noProof/>
                <w:webHidden/>
              </w:rPr>
              <w:instrText xml:space="preserve"> PAGEREF _Toc188539085 \h </w:instrText>
            </w:r>
            <w:r>
              <w:rPr>
                <w:noProof/>
                <w:webHidden/>
              </w:rPr>
            </w:r>
            <w:r>
              <w:rPr>
                <w:noProof/>
                <w:webHidden/>
              </w:rPr>
              <w:fldChar w:fldCharType="separate"/>
            </w:r>
            <w:r>
              <w:rPr>
                <w:noProof/>
                <w:webHidden/>
              </w:rPr>
              <w:t>17</w:t>
            </w:r>
            <w:r>
              <w:rPr>
                <w:noProof/>
                <w:webHidden/>
              </w:rPr>
              <w:fldChar w:fldCharType="end"/>
            </w:r>
          </w:hyperlink>
        </w:p>
        <w:p w14:paraId="5D173A24" w14:textId="07B192F9"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86" w:history="1">
            <w:r w:rsidRPr="00D57AB9">
              <w:rPr>
                <w:rStyle w:val="Hipervnculo"/>
                <w:rFonts w:ascii="Gadugi" w:eastAsia="Gadugi" w:hAnsi="Gadugi" w:cs="Gadugi"/>
                <w:noProof/>
              </w:rPr>
              <w:t>4.4.</w:t>
            </w:r>
            <w:r>
              <w:rPr>
                <w:rFonts w:asciiTheme="minorHAnsi" w:eastAsiaTheme="minorEastAsia" w:hAnsiTheme="minorHAnsi" w:cstheme="minorBidi"/>
                <w:noProof/>
                <w:sz w:val="22"/>
              </w:rPr>
              <w:tab/>
            </w:r>
            <w:r w:rsidRPr="00D57AB9">
              <w:rPr>
                <w:rStyle w:val="Hipervnculo"/>
                <w:rFonts w:ascii="Gadugi" w:eastAsia="Gadugi" w:hAnsi="Gadugi" w:cs="Gadugi"/>
                <w:noProof/>
              </w:rPr>
              <w:t>TABLEROS DE ALUMBRADO Y CIRCUITOS AUXILIARES</w:t>
            </w:r>
            <w:r>
              <w:rPr>
                <w:noProof/>
                <w:webHidden/>
              </w:rPr>
              <w:tab/>
            </w:r>
            <w:r>
              <w:rPr>
                <w:noProof/>
                <w:webHidden/>
              </w:rPr>
              <w:fldChar w:fldCharType="begin"/>
            </w:r>
            <w:r>
              <w:rPr>
                <w:noProof/>
                <w:webHidden/>
              </w:rPr>
              <w:instrText xml:space="preserve"> PAGEREF _Toc188539086 \h </w:instrText>
            </w:r>
            <w:r>
              <w:rPr>
                <w:noProof/>
                <w:webHidden/>
              </w:rPr>
            </w:r>
            <w:r>
              <w:rPr>
                <w:noProof/>
                <w:webHidden/>
              </w:rPr>
              <w:fldChar w:fldCharType="separate"/>
            </w:r>
            <w:r>
              <w:rPr>
                <w:noProof/>
                <w:webHidden/>
              </w:rPr>
              <w:t>17</w:t>
            </w:r>
            <w:r>
              <w:rPr>
                <w:noProof/>
                <w:webHidden/>
              </w:rPr>
              <w:fldChar w:fldCharType="end"/>
            </w:r>
          </w:hyperlink>
        </w:p>
        <w:p w14:paraId="5F1E59FB" w14:textId="6DBBD915"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87" w:history="1">
            <w:r w:rsidRPr="00D57AB9">
              <w:rPr>
                <w:rStyle w:val="Hipervnculo"/>
                <w:rFonts w:ascii="Gadugi" w:eastAsia="Gadugi" w:hAnsi="Gadugi" w:cs="Gadugi"/>
                <w:noProof/>
              </w:rPr>
              <w:t>4.5.</w:t>
            </w:r>
            <w:r>
              <w:rPr>
                <w:rFonts w:asciiTheme="minorHAnsi" w:eastAsiaTheme="minorEastAsia" w:hAnsiTheme="minorHAnsi" w:cstheme="minorBidi"/>
                <w:noProof/>
                <w:sz w:val="22"/>
              </w:rPr>
              <w:tab/>
            </w:r>
            <w:r w:rsidRPr="00D57AB9">
              <w:rPr>
                <w:rStyle w:val="Hipervnculo"/>
                <w:rFonts w:ascii="Gadugi" w:eastAsia="Gadugi" w:hAnsi="Gadugi" w:cs="Gadugi"/>
                <w:noProof/>
              </w:rPr>
              <w:t>TABLEROS DE CELDAS DE SECCIONAMIENTO MT</w:t>
            </w:r>
            <w:r>
              <w:rPr>
                <w:noProof/>
                <w:webHidden/>
              </w:rPr>
              <w:tab/>
            </w:r>
            <w:r>
              <w:rPr>
                <w:noProof/>
                <w:webHidden/>
              </w:rPr>
              <w:fldChar w:fldCharType="begin"/>
            </w:r>
            <w:r>
              <w:rPr>
                <w:noProof/>
                <w:webHidden/>
              </w:rPr>
              <w:instrText xml:space="preserve"> PAGEREF _Toc188539087 \h </w:instrText>
            </w:r>
            <w:r>
              <w:rPr>
                <w:noProof/>
                <w:webHidden/>
              </w:rPr>
            </w:r>
            <w:r>
              <w:rPr>
                <w:noProof/>
                <w:webHidden/>
              </w:rPr>
              <w:fldChar w:fldCharType="separate"/>
            </w:r>
            <w:r>
              <w:rPr>
                <w:noProof/>
                <w:webHidden/>
              </w:rPr>
              <w:t>18</w:t>
            </w:r>
            <w:r>
              <w:rPr>
                <w:noProof/>
                <w:webHidden/>
              </w:rPr>
              <w:fldChar w:fldCharType="end"/>
            </w:r>
          </w:hyperlink>
        </w:p>
        <w:p w14:paraId="2A6EE965" w14:textId="093B9E41" w:rsidR="00454394" w:rsidRDefault="00454394">
          <w:pPr>
            <w:pStyle w:val="TDC1"/>
            <w:tabs>
              <w:tab w:val="left" w:pos="1473"/>
              <w:tab w:val="right" w:leader="dot" w:pos="8828"/>
            </w:tabs>
            <w:rPr>
              <w:rFonts w:asciiTheme="minorHAnsi" w:eastAsiaTheme="minorEastAsia" w:hAnsiTheme="minorHAnsi" w:cstheme="minorBidi"/>
              <w:noProof/>
              <w:sz w:val="22"/>
            </w:rPr>
          </w:pPr>
          <w:hyperlink w:anchor="_Toc188539088" w:history="1">
            <w:r w:rsidRPr="00D57AB9">
              <w:rPr>
                <w:rStyle w:val="Hipervnculo"/>
                <w:rFonts w:ascii="Gadugi" w:eastAsia="Gadugi" w:hAnsi="Gadugi" w:cs="Gadugi"/>
                <w:b/>
                <w:noProof/>
              </w:rPr>
              <w:t>5.</w:t>
            </w:r>
            <w:r>
              <w:rPr>
                <w:rFonts w:asciiTheme="minorHAnsi" w:eastAsiaTheme="minorEastAsia" w:hAnsiTheme="minorHAnsi" w:cstheme="minorBidi"/>
                <w:noProof/>
                <w:sz w:val="22"/>
              </w:rPr>
              <w:tab/>
            </w:r>
            <w:r w:rsidRPr="00D57AB9">
              <w:rPr>
                <w:rStyle w:val="Hipervnculo"/>
                <w:rFonts w:ascii="Gadugi" w:eastAsia="Gadugi" w:hAnsi="Gadugi" w:cs="Gadugi"/>
                <w:b/>
                <w:noProof/>
              </w:rPr>
              <w:t>TABLEROS ELECTRICOS DE POTENCIA DE LA CENTRAL DE GENERACION</w:t>
            </w:r>
            <w:r>
              <w:rPr>
                <w:noProof/>
                <w:webHidden/>
              </w:rPr>
              <w:tab/>
            </w:r>
            <w:r>
              <w:rPr>
                <w:noProof/>
                <w:webHidden/>
              </w:rPr>
              <w:fldChar w:fldCharType="begin"/>
            </w:r>
            <w:r>
              <w:rPr>
                <w:noProof/>
                <w:webHidden/>
              </w:rPr>
              <w:instrText xml:space="preserve"> PAGEREF _Toc188539088 \h </w:instrText>
            </w:r>
            <w:r>
              <w:rPr>
                <w:noProof/>
                <w:webHidden/>
              </w:rPr>
            </w:r>
            <w:r>
              <w:rPr>
                <w:noProof/>
                <w:webHidden/>
              </w:rPr>
              <w:fldChar w:fldCharType="separate"/>
            </w:r>
            <w:r>
              <w:rPr>
                <w:noProof/>
                <w:webHidden/>
              </w:rPr>
              <w:t>19</w:t>
            </w:r>
            <w:r>
              <w:rPr>
                <w:noProof/>
                <w:webHidden/>
              </w:rPr>
              <w:fldChar w:fldCharType="end"/>
            </w:r>
          </w:hyperlink>
        </w:p>
        <w:p w14:paraId="7BFCA127" w14:textId="18189728"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89" w:history="1">
            <w:r w:rsidRPr="00D57AB9">
              <w:rPr>
                <w:rStyle w:val="Hipervnculo"/>
                <w:rFonts w:ascii="Gadugi" w:eastAsia="Gadugi" w:hAnsi="Gadugi" w:cs="Gadugi"/>
                <w:noProof/>
              </w:rPr>
              <w:t>5.1.</w:t>
            </w:r>
            <w:r>
              <w:rPr>
                <w:rFonts w:asciiTheme="minorHAnsi" w:eastAsiaTheme="minorEastAsia" w:hAnsiTheme="minorHAnsi" w:cstheme="minorBidi"/>
                <w:noProof/>
                <w:sz w:val="22"/>
              </w:rPr>
              <w:tab/>
            </w:r>
            <w:r w:rsidRPr="00D57AB9">
              <w:rPr>
                <w:rStyle w:val="Hipervnculo"/>
                <w:rFonts w:ascii="Gadugi" w:eastAsia="Gadugi" w:hAnsi="Gadugi" w:cs="Gadugi"/>
                <w:noProof/>
              </w:rPr>
              <w:t>ACOMETIDAS ELECTRICAS DE POTENCIA</w:t>
            </w:r>
            <w:r>
              <w:rPr>
                <w:noProof/>
                <w:webHidden/>
              </w:rPr>
              <w:tab/>
            </w:r>
            <w:r>
              <w:rPr>
                <w:noProof/>
                <w:webHidden/>
              </w:rPr>
              <w:fldChar w:fldCharType="begin"/>
            </w:r>
            <w:r>
              <w:rPr>
                <w:noProof/>
                <w:webHidden/>
              </w:rPr>
              <w:instrText xml:space="preserve"> PAGEREF _Toc188539089 \h </w:instrText>
            </w:r>
            <w:r>
              <w:rPr>
                <w:noProof/>
                <w:webHidden/>
              </w:rPr>
            </w:r>
            <w:r>
              <w:rPr>
                <w:noProof/>
                <w:webHidden/>
              </w:rPr>
              <w:fldChar w:fldCharType="separate"/>
            </w:r>
            <w:r>
              <w:rPr>
                <w:noProof/>
                <w:webHidden/>
              </w:rPr>
              <w:t>19</w:t>
            </w:r>
            <w:r>
              <w:rPr>
                <w:noProof/>
                <w:webHidden/>
              </w:rPr>
              <w:fldChar w:fldCharType="end"/>
            </w:r>
          </w:hyperlink>
        </w:p>
        <w:p w14:paraId="25BF50BA" w14:textId="789C4AEC" w:rsidR="00454394" w:rsidRDefault="00454394">
          <w:pPr>
            <w:pStyle w:val="TDC3"/>
            <w:rPr>
              <w:rFonts w:asciiTheme="minorHAnsi" w:hAnsiTheme="minorHAnsi" w:cstheme="minorBidi"/>
              <w:noProof/>
              <w:sz w:val="22"/>
            </w:rPr>
          </w:pPr>
          <w:hyperlink w:anchor="_Toc188539090" w:history="1">
            <w:r w:rsidRPr="00D57AB9">
              <w:rPr>
                <w:rStyle w:val="Hipervnculo"/>
                <w:rFonts w:ascii="Gadugi" w:eastAsia="Gadugi" w:hAnsi="Gadugi" w:cs="Gadugi"/>
                <w:noProof/>
              </w:rPr>
              <w:t>5.1.1.</w:t>
            </w:r>
            <w:r>
              <w:rPr>
                <w:rFonts w:asciiTheme="minorHAnsi" w:hAnsiTheme="minorHAnsi" w:cstheme="minorBidi"/>
                <w:noProof/>
                <w:sz w:val="22"/>
              </w:rPr>
              <w:tab/>
            </w:r>
            <w:r w:rsidRPr="00D57AB9">
              <w:rPr>
                <w:rStyle w:val="Hipervnculo"/>
                <w:rFonts w:ascii="Gadugi" w:eastAsia="Gadugi" w:hAnsi="Gadugi" w:cs="Gadugi"/>
                <w:noProof/>
              </w:rPr>
              <w:t>Acometida Subterránea</w:t>
            </w:r>
            <w:r>
              <w:rPr>
                <w:noProof/>
                <w:webHidden/>
              </w:rPr>
              <w:tab/>
            </w:r>
            <w:r>
              <w:rPr>
                <w:noProof/>
                <w:webHidden/>
              </w:rPr>
              <w:fldChar w:fldCharType="begin"/>
            </w:r>
            <w:r>
              <w:rPr>
                <w:noProof/>
                <w:webHidden/>
              </w:rPr>
              <w:instrText xml:space="preserve"> PAGEREF _Toc188539090 \h </w:instrText>
            </w:r>
            <w:r>
              <w:rPr>
                <w:noProof/>
                <w:webHidden/>
              </w:rPr>
            </w:r>
            <w:r>
              <w:rPr>
                <w:noProof/>
                <w:webHidden/>
              </w:rPr>
              <w:fldChar w:fldCharType="separate"/>
            </w:r>
            <w:r>
              <w:rPr>
                <w:noProof/>
                <w:webHidden/>
              </w:rPr>
              <w:t>19</w:t>
            </w:r>
            <w:r>
              <w:rPr>
                <w:noProof/>
                <w:webHidden/>
              </w:rPr>
              <w:fldChar w:fldCharType="end"/>
            </w:r>
          </w:hyperlink>
        </w:p>
        <w:p w14:paraId="3788B747" w14:textId="7DED2923"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91" w:history="1">
            <w:r w:rsidRPr="00D57AB9">
              <w:rPr>
                <w:rStyle w:val="Hipervnculo"/>
                <w:rFonts w:ascii="Gadugi" w:eastAsia="Gadugi" w:hAnsi="Gadugi" w:cs="Gadugi"/>
                <w:noProof/>
              </w:rPr>
              <w:t>5.2.</w:t>
            </w:r>
            <w:r>
              <w:rPr>
                <w:rFonts w:asciiTheme="minorHAnsi" w:eastAsiaTheme="minorEastAsia" w:hAnsiTheme="minorHAnsi" w:cstheme="minorBidi"/>
                <w:noProof/>
                <w:sz w:val="22"/>
              </w:rPr>
              <w:tab/>
            </w:r>
            <w:r w:rsidRPr="00D57AB9">
              <w:rPr>
                <w:rStyle w:val="Hipervnculo"/>
                <w:rFonts w:ascii="Gadugi" w:eastAsia="Gadugi" w:hAnsi="Gadugi" w:cs="Gadugi"/>
                <w:noProof/>
              </w:rPr>
              <w:t>SUBESTACIONES ELECTRICAS DE TRANSFORMACION</w:t>
            </w:r>
            <w:r>
              <w:rPr>
                <w:noProof/>
                <w:webHidden/>
              </w:rPr>
              <w:tab/>
            </w:r>
            <w:r>
              <w:rPr>
                <w:noProof/>
                <w:webHidden/>
              </w:rPr>
              <w:fldChar w:fldCharType="begin"/>
            </w:r>
            <w:r>
              <w:rPr>
                <w:noProof/>
                <w:webHidden/>
              </w:rPr>
              <w:instrText xml:space="preserve"> PAGEREF _Toc188539091 \h </w:instrText>
            </w:r>
            <w:r>
              <w:rPr>
                <w:noProof/>
                <w:webHidden/>
              </w:rPr>
            </w:r>
            <w:r>
              <w:rPr>
                <w:noProof/>
                <w:webHidden/>
              </w:rPr>
              <w:fldChar w:fldCharType="separate"/>
            </w:r>
            <w:r>
              <w:rPr>
                <w:noProof/>
                <w:webHidden/>
              </w:rPr>
              <w:t>19</w:t>
            </w:r>
            <w:r>
              <w:rPr>
                <w:noProof/>
                <w:webHidden/>
              </w:rPr>
              <w:fldChar w:fldCharType="end"/>
            </w:r>
          </w:hyperlink>
        </w:p>
        <w:p w14:paraId="12EBF21E" w14:textId="40E15851"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92" w:history="1">
            <w:r w:rsidRPr="00D57AB9">
              <w:rPr>
                <w:rStyle w:val="Hipervnculo"/>
                <w:rFonts w:ascii="Gadugi" w:eastAsia="Gadugi" w:hAnsi="Gadugi" w:cs="Gadugi"/>
                <w:noProof/>
              </w:rPr>
              <w:t>5.3.</w:t>
            </w:r>
            <w:r>
              <w:rPr>
                <w:rFonts w:asciiTheme="minorHAnsi" w:eastAsiaTheme="minorEastAsia" w:hAnsiTheme="minorHAnsi" w:cstheme="minorBidi"/>
                <w:noProof/>
                <w:sz w:val="22"/>
              </w:rPr>
              <w:tab/>
            </w:r>
            <w:r w:rsidRPr="00D57AB9">
              <w:rPr>
                <w:rStyle w:val="Hipervnculo"/>
                <w:rFonts w:ascii="Gadugi" w:eastAsia="Gadugi" w:hAnsi="Gadugi" w:cs="Gadugi"/>
                <w:noProof/>
              </w:rPr>
              <w:t>SISTEMA DE PUESTA TIERRA</w:t>
            </w:r>
            <w:r>
              <w:rPr>
                <w:noProof/>
                <w:webHidden/>
              </w:rPr>
              <w:tab/>
            </w:r>
            <w:r>
              <w:rPr>
                <w:noProof/>
                <w:webHidden/>
              </w:rPr>
              <w:fldChar w:fldCharType="begin"/>
            </w:r>
            <w:r>
              <w:rPr>
                <w:noProof/>
                <w:webHidden/>
              </w:rPr>
              <w:instrText xml:space="preserve"> PAGEREF _Toc188539092 \h </w:instrText>
            </w:r>
            <w:r>
              <w:rPr>
                <w:noProof/>
                <w:webHidden/>
              </w:rPr>
            </w:r>
            <w:r>
              <w:rPr>
                <w:noProof/>
                <w:webHidden/>
              </w:rPr>
              <w:fldChar w:fldCharType="separate"/>
            </w:r>
            <w:r>
              <w:rPr>
                <w:noProof/>
                <w:webHidden/>
              </w:rPr>
              <w:t>20</w:t>
            </w:r>
            <w:r>
              <w:rPr>
                <w:noProof/>
                <w:webHidden/>
              </w:rPr>
              <w:fldChar w:fldCharType="end"/>
            </w:r>
          </w:hyperlink>
        </w:p>
        <w:p w14:paraId="00B41BC7" w14:textId="08A37490"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93" w:history="1">
            <w:r w:rsidRPr="00D57AB9">
              <w:rPr>
                <w:rStyle w:val="Hipervnculo"/>
                <w:rFonts w:ascii="Gadugi" w:eastAsia="Gadugi" w:hAnsi="Gadugi" w:cs="Gadugi"/>
                <w:noProof/>
              </w:rPr>
              <w:t>5.4.</w:t>
            </w:r>
            <w:r>
              <w:rPr>
                <w:rFonts w:asciiTheme="minorHAnsi" w:eastAsiaTheme="minorEastAsia" w:hAnsiTheme="minorHAnsi" w:cstheme="minorBidi"/>
                <w:noProof/>
                <w:sz w:val="22"/>
              </w:rPr>
              <w:tab/>
            </w:r>
            <w:r w:rsidRPr="00D57AB9">
              <w:rPr>
                <w:rStyle w:val="Hipervnculo"/>
                <w:rFonts w:ascii="Gadugi" w:eastAsia="Gadugi" w:hAnsi="Gadugi" w:cs="Gadugi"/>
                <w:noProof/>
              </w:rPr>
              <w:t>OTRAS INSTALACIONES</w:t>
            </w:r>
            <w:r>
              <w:rPr>
                <w:noProof/>
                <w:webHidden/>
              </w:rPr>
              <w:tab/>
            </w:r>
            <w:r>
              <w:rPr>
                <w:noProof/>
                <w:webHidden/>
              </w:rPr>
              <w:fldChar w:fldCharType="begin"/>
            </w:r>
            <w:r>
              <w:rPr>
                <w:noProof/>
                <w:webHidden/>
              </w:rPr>
              <w:instrText xml:space="preserve"> PAGEREF _Toc188539093 \h </w:instrText>
            </w:r>
            <w:r>
              <w:rPr>
                <w:noProof/>
                <w:webHidden/>
              </w:rPr>
            </w:r>
            <w:r>
              <w:rPr>
                <w:noProof/>
                <w:webHidden/>
              </w:rPr>
              <w:fldChar w:fldCharType="separate"/>
            </w:r>
            <w:r>
              <w:rPr>
                <w:noProof/>
                <w:webHidden/>
              </w:rPr>
              <w:t>21</w:t>
            </w:r>
            <w:r>
              <w:rPr>
                <w:noProof/>
                <w:webHidden/>
              </w:rPr>
              <w:fldChar w:fldCharType="end"/>
            </w:r>
          </w:hyperlink>
        </w:p>
        <w:p w14:paraId="189A6196" w14:textId="1EB304B0" w:rsidR="00454394" w:rsidRDefault="00454394">
          <w:pPr>
            <w:pStyle w:val="TDC3"/>
            <w:rPr>
              <w:rFonts w:asciiTheme="minorHAnsi" w:hAnsiTheme="minorHAnsi" w:cstheme="minorBidi"/>
              <w:noProof/>
              <w:sz w:val="22"/>
            </w:rPr>
          </w:pPr>
          <w:hyperlink w:anchor="_Toc188539094" w:history="1">
            <w:r w:rsidRPr="00D57AB9">
              <w:rPr>
                <w:rStyle w:val="Hipervnculo"/>
                <w:rFonts w:ascii="Gadugi" w:eastAsia="Gadugi" w:hAnsi="Gadugi" w:cs="Gadugi"/>
                <w:noProof/>
              </w:rPr>
              <w:t>5.4.1.</w:t>
            </w:r>
            <w:r>
              <w:rPr>
                <w:rFonts w:asciiTheme="minorHAnsi" w:hAnsiTheme="minorHAnsi" w:cstheme="minorBidi"/>
                <w:noProof/>
                <w:sz w:val="22"/>
              </w:rPr>
              <w:tab/>
            </w:r>
            <w:r w:rsidRPr="00D57AB9">
              <w:rPr>
                <w:rStyle w:val="Hipervnculo"/>
                <w:rFonts w:ascii="Gadugi" w:eastAsia="Gadugi" w:hAnsi="Gadugi" w:cs="Gadugi"/>
                <w:noProof/>
              </w:rPr>
              <w:t>Sistema de protección contra incendios</w:t>
            </w:r>
            <w:r>
              <w:rPr>
                <w:noProof/>
                <w:webHidden/>
              </w:rPr>
              <w:tab/>
            </w:r>
            <w:r>
              <w:rPr>
                <w:noProof/>
                <w:webHidden/>
              </w:rPr>
              <w:fldChar w:fldCharType="begin"/>
            </w:r>
            <w:r>
              <w:rPr>
                <w:noProof/>
                <w:webHidden/>
              </w:rPr>
              <w:instrText xml:space="preserve"> PAGEREF _Toc188539094 \h </w:instrText>
            </w:r>
            <w:r>
              <w:rPr>
                <w:noProof/>
                <w:webHidden/>
              </w:rPr>
            </w:r>
            <w:r>
              <w:rPr>
                <w:noProof/>
                <w:webHidden/>
              </w:rPr>
              <w:fldChar w:fldCharType="separate"/>
            </w:r>
            <w:r>
              <w:rPr>
                <w:noProof/>
                <w:webHidden/>
              </w:rPr>
              <w:t>21</w:t>
            </w:r>
            <w:r>
              <w:rPr>
                <w:noProof/>
                <w:webHidden/>
              </w:rPr>
              <w:fldChar w:fldCharType="end"/>
            </w:r>
          </w:hyperlink>
        </w:p>
        <w:p w14:paraId="759E651F" w14:textId="5B3B5DD7" w:rsidR="00454394" w:rsidRDefault="00454394">
          <w:pPr>
            <w:pStyle w:val="TDC3"/>
            <w:rPr>
              <w:rFonts w:asciiTheme="minorHAnsi" w:hAnsiTheme="minorHAnsi" w:cstheme="minorBidi"/>
              <w:noProof/>
              <w:sz w:val="22"/>
            </w:rPr>
          </w:pPr>
          <w:hyperlink w:anchor="_Toc188539095" w:history="1">
            <w:r w:rsidRPr="00D57AB9">
              <w:rPr>
                <w:rStyle w:val="Hipervnculo"/>
                <w:rFonts w:ascii="Gadugi" w:eastAsia="Gadugi" w:hAnsi="Gadugi" w:cs="Gadugi"/>
                <w:noProof/>
              </w:rPr>
              <w:t>5.4.2.</w:t>
            </w:r>
            <w:r>
              <w:rPr>
                <w:rFonts w:asciiTheme="minorHAnsi" w:hAnsiTheme="minorHAnsi" w:cstheme="minorBidi"/>
                <w:noProof/>
                <w:sz w:val="22"/>
              </w:rPr>
              <w:tab/>
            </w:r>
            <w:r w:rsidRPr="00D57AB9">
              <w:rPr>
                <w:rStyle w:val="Hipervnculo"/>
                <w:rFonts w:ascii="Gadugi" w:eastAsia="Gadugi" w:hAnsi="Gadugi" w:cs="Gadugi"/>
                <w:noProof/>
              </w:rPr>
              <w:t>Criterios de exposición al riesgo de incendio en una central eléctrica</w:t>
            </w:r>
            <w:r>
              <w:rPr>
                <w:noProof/>
                <w:webHidden/>
              </w:rPr>
              <w:tab/>
            </w:r>
            <w:r>
              <w:rPr>
                <w:noProof/>
                <w:webHidden/>
              </w:rPr>
              <w:fldChar w:fldCharType="begin"/>
            </w:r>
            <w:r>
              <w:rPr>
                <w:noProof/>
                <w:webHidden/>
              </w:rPr>
              <w:instrText xml:space="preserve"> PAGEREF _Toc188539095 \h </w:instrText>
            </w:r>
            <w:r>
              <w:rPr>
                <w:noProof/>
                <w:webHidden/>
              </w:rPr>
            </w:r>
            <w:r>
              <w:rPr>
                <w:noProof/>
                <w:webHidden/>
              </w:rPr>
              <w:fldChar w:fldCharType="separate"/>
            </w:r>
            <w:r>
              <w:rPr>
                <w:noProof/>
                <w:webHidden/>
              </w:rPr>
              <w:t>21</w:t>
            </w:r>
            <w:r>
              <w:rPr>
                <w:noProof/>
                <w:webHidden/>
              </w:rPr>
              <w:fldChar w:fldCharType="end"/>
            </w:r>
          </w:hyperlink>
        </w:p>
        <w:p w14:paraId="589A535A" w14:textId="54A354D3" w:rsidR="00454394" w:rsidRDefault="00454394">
          <w:pPr>
            <w:pStyle w:val="TDC3"/>
            <w:rPr>
              <w:rFonts w:asciiTheme="minorHAnsi" w:hAnsiTheme="minorHAnsi" w:cstheme="minorBidi"/>
              <w:noProof/>
              <w:sz w:val="22"/>
            </w:rPr>
          </w:pPr>
          <w:hyperlink w:anchor="_Toc188539096" w:history="1">
            <w:r w:rsidRPr="00D57AB9">
              <w:rPr>
                <w:rStyle w:val="Hipervnculo"/>
                <w:rFonts w:ascii="Gadugi" w:eastAsia="Gadugi" w:hAnsi="Gadugi" w:cs="Gadugi"/>
                <w:noProof/>
              </w:rPr>
              <w:t>5.4.3.</w:t>
            </w:r>
            <w:r>
              <w:rPr>
                <w:rFonts w:asciiTheme="minorHAnsi" w:hAnsiTheme="minorHAnsi" w:cstheme="minorBidi"/>
                <w:noProof/>
                <w:sz w:val="22"/>
              </w:rPr>
              <w:tab/>
            </w:r>
            <w:r w:rsidRPr="00D57AB9">
              <w:rPr>
                <w:rStyle w:val="Hipervnculo"/>
                <w:rFonts w:ascii="Gadugi" w:eastAsia="Gadugi" w:hAnsi="Gadugi" w:cs="Gadugi"/>
                <w:noProof/>
              </w:rPr>
              <w:t>Sistema de alarmas de incendio</w:t>
            </w:r>
            <w:r>
              <w:rPr>
                <w:noProof/>
                <w:webHidden/>
              </w:rPr>
              <w:tab/>
            </w:r>
            <w:r>
              <w:rPr>
                <w:noProof/>
                <w:webHidden/>
              </w:rPr>
              <w:fldChar w:fldCharType="begin"/>
            </w:r>
            <w:r>
              <w:rPr>
                <w:noProof/>
                <w:webHidden/>
              </w:rPr>
              <w:instrText xml:space="preserve"> PAGEREF _Toc188539096 \h </w:instrText>
            </w:r>
            <w:r>
              <w:rPr>
                <w:noProof/>
                <w:webHidden/>
              </w:rPr>
            </w:r>
            <w:r>
              <w:rPr>
                <w:noProof/>
                <w:webHidden/>
              </w:rPr>
              <w:fldChar w:fldCharType="separate"/>
            </w:r>
            <w:r>
              <w:rPr>
                <w:noProof/>
                <w:webHidden/>
              </w:rPr>
              <w:t>22</w:t>
            </w:r>
            <w:r>
              <w:rPr>
                <w:noProof/>
                <w:webHidden/>
              </w:rPr>
              <w:fldChar w:fldCharType="end"/>
            </w:r>
          </w:hyperlink>
        </w:p>
        <w:p w14:paraId="337C9A4F" w14:textId="6D5D9EF0" w:rsidR="00454394" w:rsidRDefault="00454394">
          <w:pPr>
            <w:pStyle w:val="TDC3"/>
            <w:rPr>
              <w:rFonts w:asciiTheme="minorHAnsi" w:hAnsiTheme="minorHAnsi" w:cstheme="minorBidi"/>
              <w:noProof/>
              <w:sz w:val="22"/>
            </w:rPr>
          </w:pPr>
          <w:hyperlink w:anchor="_Toc188539097" w:history="1">
            <w:r w:rsidRPr="00D57AB9">
              <w:rPr>
                <w:rStyle w:val="Hipervnculo"/>
                <w:rFonts w:ascii="Gadugi" w:eastAsia="Gadugi" w:hAnsi="Gadugi" w:cs="Gadugi"/>
                <w:noProof/>
              </w:rPr>
              <w:t>5.4.4.</w:t>
            </w:r>
            <w:r>
              <w:rPr>
                <w:rFonts w:asciiTheme="minorHAnsi" w:hAnsiTheme="minorHAnsi" w:cstheme="minorBidi"/>
                <w:noProof/>
                <w:sz w:val="22"/>
              </w:rPr>
              <w:tab/>
            </w:r>
            <w:r w:rsidRPr="00D57AB9">
              <w:rPr>
                <w:rStyle w:val="Hipervnculo"/>
                <w:rFonts w:ascii="Gadugi" w:eastAsia="Gadugi" w:hAnsi="Gadugi" w:cs="Gadugi"/>
                <w:noProof/>
              </w:rPr>
              <w:t>Iluminación y tomas de fuerza</w:t>
            </w:r>
            <w:r>
              <w:rPr>
                <w:noProof/>
                <w:webHidden/>
              </w:rPr>
              <w:tab/>
            </w:r>
            <w:r>
              <w:rPr>
                <w:noProof/>
                <w:webHidden/>
              </w:rPr>
              <w:fldChar w:fldCharType="begin"/>
            </w:r>
            <w:r>
              <w:rPr>
                <w:noProof/>
                <w:webHidden/>
              </w:rPr>
              <w:instrText xml:space="preserve"> PAGEREF _Toc188539097 \h </w:instrText>
            </w:r>
            <w:r>
              <w:rPr>
                <w:noProof/>
                <w:webHidden/>
              </w:rPr>
            </w:r>
            <w:r>
              <w:rPr>
                <w:noProof/>
                <w:webHidden/>
              </w:rPr>
              <w:fldChar w:fldCharType="separate"/>
            </w:r>
            <w:r>
              <w:rPr>
                <w:noProof/>
                <w:webHidden/>
              </w:rPr>
              <w:t>22</w:t>
            </w:r>
            <w:r>
              <w:rPr>
                <w:noProof/>
                <w:webHidden/>
              </w:rPr>
              <w:fldChar w:fldCharType="end"/>
            </w:r>
          </w:hyperlink>
        </w:p>
        <w:p w14:paraId="4E3890C8" w14:textId="2B89F36C" w:rsidR="00454394" w:rsidRDefault="00454394">
          <w:pPr>
            <w:pStyle w:val="TDC1"/>
            <w:tabs>
              <w:tab w:val="left" w:pos="1473"/>
              <w:tab w:val="right" w:leader="dot" w:pos="8828"/>
            </w:tabs>
            <w:rPr>
              <w:rFonts w:asciiTheme="minorHAnsi" w:eastAsiaTheme="minorEastAsia" w:hAnsiTheme="minorHAnsi" w:cstheme="minorBidi"/>
              <w:noProof/>
              <w:sz w:val="22"/>
            </w:rPr>
          </w:pPr>
          <w:hyperlink w:anchor="_Toc188539098" w:history="1">
            <w:r w:rsidRPr="00D57AB9">
              <w:rPr>
                <w:rStyle w:val="Hipervnculo"/>
                <w:rFonts w:ascii="Gadugi" w:eastAsia="Gadugi" w:hAnsi="Gadugi" w:cs="Gadugi"/>
                <w:b/>
                <w:noProof/>
              </w:rPr>
              <w:t>6.</w:t>
            </w:r>
            <w:r>
              <w:rPr>
                <w:rFonts w:asciiTheme="minorHAnsi" w:eastAsiaTheme="minorEastAsia" w:hAnsiTheme="minorHAnsi" w:cstheme="minorBidi"/>
                <w:noProof/>
                <w:sz w:val="22"/>
              </w:rPr>
              <w:tab/>
            </w:r>
            <w:r w:rsidRPr="00D57AB9">
              <w:rPr>
                <w:rStyle w:val="Hipervnculo"/>
                <w:rFonts w:ascii="Gadugi" w:eastAsia="Gadugi" w:hAnsi="Gadugi" w:cs="Gadugi"/>
                <w:b/>
                <w:noProof/>
              </w:rPr>
              <w:t>SALAS Y RECINTOS DE LAS CENTRAL DE GENERACION</w:t>
            </w:r>
            <w:r>
              <w:rPr>
                <w:noProof/>
                <w:webHidden/>
              </w:rPr>
              <w:tab/>
            </w:r>
            <w:r>
              <w:rPr>
                <w:noProof/>
                <w:webHidden/>
              </w:rPr>
              <w:fldChar w:fldCharType="begin"/>
            </w:r>
            <w:r>
              <w:rPr>
                <w:noProof/>
                <w:webHidden/>
              </w:rPr>
              <w:instrText xml:space="preserve"> PAGEREF _Toc188539098 \h </w:instrText>
            </w:r>
            <w:r>
              <w:rPr>
                <w:noProof/>
                <w:webHidden/>
              </w:rPr>
            </w:r>
            <w:r>
              <w:rPr>
                <w:noProof/>
                <w:webHidden/>
              </w:rPr>
              <w:fldChar w:fldCharType="separate"/>
            </w:r>
            <w:r>
              <w:rPr>
                <w:noProof/>
                <w:webHidden/>
              </w:rPr>
              <w:t>24</w:t>
            </w:r>
            <w:r>
              <w:rPr>
                <w:noProof/>
                <w:webHidden/>
              </w:rPr>
              <w:fldChar w:fldCharType="end"/>
            </w:r>
          </w:hyperlink>
        </w:p>
        <w:p w14:paraId="6B171874" w14:textId="20F2E80B"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099" w:history="1">
            <w:r w:rsidRPr="00D57AB9">
              <w:rPr>
                <w:rStyle w:val="Hipervnculo"/>
                <w:rFonts w:ascii="Gadugi" w:eastAsia="Gadugi" w:hAnsi="Gadugi" w:cs="Gadugi"/>
                <w:noProof/>
              </w:rPr>
              <w:t>6.1.</w:t>
            </w:r>
            <w:r>
              <w:rPr>
                <w:rFonts w:asciiTheme="minorHAnsi" w:eastAsiaTheme="minorEastAsia" w:hAnsiTheme="minorHAnsi" w:cstheme="minorBidi"/>
                <w:noProof/>
                <w:sz w:val="22"/>
              </w:rPr>
              <w:tab/>
            </w:r>
            <w:r w:rsidRPr="00D57AB9">
              <w:rPr>
                <w:rStyle w:val="Hipervnculo"/>
                <w:rFonts w:ascii="Gadugi" w:eastAsia="Gadugi" w:hAnsi="Gadugi" w:cs="Gadugi"/>
                <w:noProof/>
              </w:rPr>
              <w:t>AREAS DE LA CENTRAL DE GENERACION</w:t>
            </w:r>
            <w:r>
              <w:rPr>
                <w:noProof/>
                <w:webHidden/>
              </w:rPr>
              <w:tab/>
            </w:r>
            <w:r>
              <w:rPr>
                <w:noProof/>
                <w:webHidden/>
              </w:rPr>
              <w:fldChar w:fldCharType="begin"/>
            </w:r>
            <w:r>
              <w:rPr>
                <w:noProof/>
                <w:webHidden/>
              </w:rPr>
              <w:instrText xml:space="preserve"> PAGEREF _Toc188539099 \h </w:instrText>
            </w:r>
            <w:r>
              <w:rPr>
                <w:noProof/>
                <w:webHidden/>
              </w:rPr>
            </w:r>
            <w:r>
              <w:rPr>
                <w:noProof/>
                <w:webHidden/>
              </w:rPr>
              <w:fldChar w:fldCharType="separate"/>
            </w:r>
            <w:r>
              <w:rPr>
                <w:noProof/>
                <w:webHidden/>
              </w:rPr>
              <w:t>24</w:t>
            </w:r>
            <w:r>
              <w:rPr>
                <w:noProof/>
                <w:webHidden/>
              </w:rPr>
              <w:fldChar w:fldCharType="end"/>
            </w:r>
          </w:hyperlink>
        </w:p>
        <w:p w14:paraId="70120523" w14:textId="51DBCD7E"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100" w:history="1">
            <w:r w:rsidRPr="00D57AB9">
              <w:rPr>
                <w:rStyle w:val="Hipervnculo"/>
                <w:rFonts w:ascii="Gadugi" w:eastAsia="Gadugi" w:hAnsi="Gadugi" w:cs="Gadugi"/>
                <w:noProof/>
              </w:rPr>
              <w:t>6.2.</w:t>
            </w:r>
            <w:r>
              <w:rPr>
                <w:rFonts w:asciiTheme="minorHAnsi" w:eastAsiaTheme="minorEastAsia" w:hAnsiTheme="minorHAnsi" w:cstheme="minorBidi"/>
                <w:noProof/>
                <w:sz w:val="22"/>
              </w:rPr>
              <w:tab/>
            </w:r>
            <w:r w:rsidRPr="00D57AB9">
              <w:rPr>
                <w:rStyle w:val="Hipervnculo"/>
                <w:rFonts w:ascii="Gadugi" w:eastAsia="Gadugi" w:hAnsi="Gadugi" w:cs="Gadugi"/>
                <w:noProof/>
              </w:rPr>
              <w:t>UBICACIÓN Y ORIENTACIÓN DE LA SALA DE GENERACION</w:t>
            </w:r>
            <w:r>
              <w:rPr>
                <w:noProof/>
                <w:webHidden/>
              </w:rPr>
              <w:tab/>
            </w:r>
            <w:r>
              <w:rPr>
                <w:noProof/>
                <w:webHidden/>
              </w:rPr>
              <w:fldChar w:fldCharType="begin"/>
            </w:r>
            <w:r>
              <w:rPr>
                <w:noProof/>
                <w:webHidden/>
              </w:rPr>
              <w:instrText xml:space="preserve"> PAGEREF _Toc188539100 \h </w:instrText>
            </w:r>
            <w:r>
              <w:rPr>
                <w:noProof/>
                <w:webHidden/>
              </w:rPr>
            </w:r>
            <w:r>
              <w:rPr>
                <w:noProof/>
                <w:webHidden/>
              </w:rPr>
              <w:fldChar w:fldCharType="separate"/>
            </w:r>
            <w:r>
              <w:rPr>
                <w:noProof/>
                <w:webHidden/>
              </w:rPr>
              <w:t>24</w:t>
            </w:r>
            <w:r>
              <w:rPr>
                <w:noProof/>
                <w:webHidden/>
              </w:rPr>
              <w:fldChar w:fldCharType="end"/>
            </w:r>
          </w:hyperlink>
        </w:p>
        <w:p w14:paraId="7E5BF83D" w14:textId="4C5C31CA"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101" w:history="1">
            <w:r w:rsidRPr="00D57AB9">
              <w:rPr>
                <w:rStyle w:val="Hipervnculo"/>
                <w:rFonts w:ascii="Gadugi" w:eastAsia="Gadugi" w:hAnsi="Gadugi" w:cs="Gadugi"/>
                <w:noProof/>
              </w:rPr>
              <w:t>6.3.</w:t>
            </w:r>
            <w:r>
              <w:rPr>
                <w:rFonts w:asciiTheme="minorHAnsi" w:eastAsiaTheme="minorEastAsia" w:hAnsiTheme="minorHAnsi" w:cstheme="minorBidi"/>
                <w:noProof/>
                <w:sz w:val="22"/>
              </w:rPr>
              <w:tab/>
            </w:r>
            <w:r w:rsidRPr="00D57AB9">
              <w:rPr>
                <w:rStyle w:val="Hipervnculo"/>
                <w:rFonts w:ascii="Gadugi" w:eastAsia="Gadugi" w:hAnsi="Gadugi" w:cs="Gadugi"/>
                <w:noProof/>
              </w:rPr>
              <w:t>ORIENTACIÓN DE LA CENTRAL ELECTRICA</w:t>
            </w:r>
            <w:r>
              <w:rPr>
                <w:noProof/>
                <w:webHidden/>
              </w:rPr>
              <w:tab/>
            </w:r>
            <w:r>
              <w:rPr>
                <w:noProof/>
                <w:webHidden/>
              </w:rPr>
              <w:fldChar w:fldCharType="begin"/>
            </w:r>
            <w:r>
              <w:rPr>
                <w:noProof/>
                <w:webHidden/>
              </w:rPr>
              <w:instrText xml:space="preserve"> PAGEREF _Toc188539101 \h </w:instrText>
            </w:r>
            <w:r>
              <w:rPr>
                <w:noProof/>
                <w:webHidden/>
              </w:rPr>
            </w:r>
            <w:r>
              <w:rPr>
                <w:noProof/>
                <w:webHidden/>
              </w:rPr>
              <w:fldChar w:fldCharType="separate"/>
            </w:r>
            <w:r>
              <w:rPr>
                <w:noProof/>
                <w:webHidden/>
              </w:rPr>
              <w:t>25</w:t>
            </w:r>
            <w:r>
              <w:rPr>
                <w:noProof/>
                <w:webHidden/>
              </w:rPr>
              <w:fldChar w:fldCharType="end"/>
            </w:r>
          </w:hyperlink>
        </w:p>
        <w:p w14:paraId="294F24FD" w14:textId="05E04E9F"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102" w:history="1">
            <w:r w:rsidRPr="00D57AB9">
              <w:rPr>
                <w:rStyle w:val="Hipervnculo"/>
                <w:rFonts w:ascii="Gadugi" w:eastAsia="Gadugi" w:hAnsi="Gadugi" w:cs="Gadugi"/>
                <w:noProof/>
              </w:rPr>
              <w:t>6.4.</w:t>
            </w:r>
            <w:r>
              <w:rPr>
                <w:rFonts w:asciiTheme="minorHAnsi" w:eastAsiaTheme="minorEastAsia" w:hAnsiTheme="minorHAnsi" w:cstheme="minorBidi"/>
                <w:noProof/>
                <w:sz w:val="22"/>
              </w:rPr>
              <w:tab/>
            </w:r>
            <w:r w:rsidRPr="00D57AB9">
              <w:rPr>
                <w:rStyle w:val="Hipervnculo"/>
                <w:rFonts w:ascii="Gadugi" w:eastAsia="Gadugi" w:hAnsi="Gadugi" w:cs="Gadugi"/>
                <w:noProof/>
              </w:rPr>
              <w:t>DISPOSICIÓN FÍSICA DE LOS GRUPOS ELECTRÓGENOS EN LA SALA O RECINTO DE GENERACIÓN</w:t>
            </w:r>
            <w:r>
              <w:rPr>
                <w:noProof/>
                <w:webHidden/>
              </w:rPr>
              <w:tab/>
            </w:r>
            <w:r>
              <w:rPr>
                <w:noProof/>
                <w:webHidden/>
              </w:rPr>
              <w:fldChar w:fldCharType="begin"/>
            </w:r>
            <w:r>
              <w:rPr>
                <w:noProof/>
                <w:webHidden/>
              </w:rPr>
              <w:instrText xml:space="preserve"> PAGEREF _Toc188539102 \h </w:instrText>
            </w:r>
            <w:r>
              <w:rPr>
                <w:noProof/>
                <w:webHidden/>
              </w:rPr>
            </w:r>
            <w:r>
              <w:rPr>
                <w:noProof/>
                <w:webHidden/>
              </w:rPr>
              <w:fldChar w:fldCharType="separate"/>
            </w:r>
            <w:r>
              <w:rPr>
                <w:noProof/>
                <w:webHidden/>
              </w:rPr>
              <w:t>25</w:t>
            </w:r>
            <w:r>
              <w:rPr>
                <w:noProof/>
                <w:webHidden/>
              </w:rPr>
              <w:fldChar w:fldCharType="end"/>
            </w:r>
          </w:hyperlink>
        </w:p>
        <w:p w14:paraId="5C4AB5E1" w14:textId="1968C247"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103" w:history="1">
            <w:r w:rsidRPr="00D57AB9">
              <w:rPr>
                <w:rStyle w:val="Hipervnculo"/>
                <w:rFonts w:ascii="Gadugi" w:eastAsia="Gadugi" w:hAnsi="Gadugi" w:cs="Gadugi"/>
                <w:noProof/>
              </w:rPr>
              <w:t>6.5.</w:t>
            </w:r>
            <w:r>
              <w:rPr>
                <w:rFonts w:asciiTheme="minorHAnsi" w:eastAsiaTheme="minorEastAsia" w:hAnsiTheme="minorHAnsi" w:cstheme="minorBidi"/>
                <w:noProof/>
                <w:sz w:val="22"/>
              </w:rPr>
              <w:tab/>
            </w:r>
            <w:r w:rsidRPr="00D57AB9">
              <w:rPr>
                <w:rStyle w:val="Hipervnculo"/>
                <w:rFonts w:ascii="Gadugi" w:eastAsia="Gadugi" w:hAnsi="Gadugi" w:cs="Gadugi"/>
                <w:noProof/>
              </w:rPr>
              <w:t>CABINAS DE INTEMPERIE PARA GRUPOS ELECTROGENOS</w:t>
            </w:r>
            <w:r>
              <w:rPr>
                <w:noProof/>
                <w:webHidden/>
              </w:rPr>
              <w:tab/>
            </w:r>
            <w:r>
              <w:rPr>
                <w:noProof/>
                <w:webHidden/>
              </w:rPr>
              <w:fldChar w:fldCharType="begin"/>
            </w:r>
            <w:r>
              <w:rPr>
                <w:noProof/>
                <w:webHidden/>
              </w:rPr>
              <w:instrText xml:space="preserve"> PAGEREF _Toc188539103 \h </w:instrText>
            </w:r>
            <w:r>
              <w:rPr>
                <w:noProof/>
                <w:webHidden/>
              </w:rPr>
            </w:r>
            <w:r>
              <w:rPr>
                <w:noProof/>
                <w:webHidden/>
              </w:rPr>
              <w:fldChar w:fldCharType="separate"/>
            </w:r>
            <w:r>
              <w:rPr>
                <w:noProof/>
                <w:webHidden/>
              </w:rPr>
              <w:t>26</w:t>
            </w:r>
            <w:r>
              <w:rPr>
                <w:noProof/>
                <w:webHidden/>
              </w:rPr>
              <w:fldChar w:fldCharType="end"/>
            </w:r>
          </w:hyperlink>
        </w:p>
        <w:p w14:paraId="39306CE1" w14:textId="45C6B838"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104" w:history="1">
            <w:r w:rsidRPr="00D57AB9">
              <w:rPr>
                <w:rStyle w:val="Hipervnculo"/>
                <w:rFonts w:ascii="Gadugi" w:eastAsia="Gadugi" w:hAnsi="Gadugi" w:cs="Gadugi"/>
                <w:noProof/>
              </w:rPr>
              <w:t>6.6.</w:t>
            </w:r>
            <w:r>
              <w:rPr>
                <w:rFonts w:asciiTheme="minorHAnsi" w:eastAsiaTheme="minorEastAsia" w:hAnsiTheme="minorHAnsi" w:cstheme="minorBidi"/>
                <w:noProof/>
                <w:sz w:val="22"/>
              </w:rPr>
              <w:tab/>
            </w:r>
            <w:r w:rsidRPr="00D57AB9">
              <w:rPr>
                <w:rStyle w:val="Hipervnculo"/>
                <w:rFonts w:ascii="Gadugi" w:eastAsia="Gadugi" w:hAnsi="Gadugi" w:cs="Gadugi"/>
                <w:noProof/>
              </w:rPr>
              <w:t>SISTEMA DE INSONORIZACIÓN</w:t>
            </w:r>
            <w:r>
              <w:rPr>
                <w:noProof/>
                <w:webHidden/>
              </w:rPr>
              <w:tab/>
            </w:r>
            <w:r>
              <w:rPr>
                <w:noProof/>
                <w:webHidden/>
              </w:rPr>
              <w:fldChar w:fldCharType="begin"/>
            </w:r>
            <w:r>
              <w:rPr>
                <w:noProof/>
                <w:webHidden/>
              </w:rPr>
              <w:instrText xml:space="preserve"> PAGEREF _Toc188539104 \h </w:instrText>
            </w:r>
            <w:r>
              <w:rPr>
                <w:noProof/>
                <w:webHidden/>
              </w:rPr>
            </w:r>
            <w:r>
              <w:rPr>
                <w:noProof/>
                <w:webHidden/>
              </w:rPr>
              <w:fldChar w:fldCharType="separate"/>
            </w:r>
            <w:r>
              <w:rPr>
                <w:noProof/>
                <w:webHidden/>
              </w:rPr>
              <w:t>27</w:t>
            </w:r>
            <w:r>
              <w:rPr>
                <w:noProof/>
                <w:webHidden/>
              </w:rPr>
              <w:fldChar w:fldCharType="end"/>
            </w:r>
          </w:hyperlink>
        </w:p>
        <w:p w14:paraId="11CDBC0C" w14:textId="4DEE606F"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105" w:history="1">
            <w:r w:rsidRPr="00D57AB9">
              <w:rPr>
                <w:rStyle w:val="Hipervnculo"/>
                <w:rFonts w:ascii="Gadugi" w:eastAsia="Gadugi" w:hAnsi="Gadugi" w:cs="Gadugi"/>
                <w:noProof/>
              </w:rPr>
              <w:t>6.7.</w:t>
            </w:r>
            <w:r>
              <w:rPr>
                <w:rFonts w:asciiTheme="minorHAnsi" w:eastAsiaTheme="minorEastAsia" w:hAnsiTheme="minorHAnsi" w:cstheme="minorBidi"/>
                <w:noProof/>
                <w:sz w:val="22"/>
              </w:rPr>
              <w:tab/>
            </w:r>
            <w:r w:rsidRPr="00D57AB9">
              <w:rPr>
                <w:rStyle w:val="Hipervnculo"/>
                <w:rFonts w:ascii="Gadugi" w:eastAsia="Gadugi" w:hAnsi="Gadugi" w:cs="Gadugi"/>
                <w:noProof/>
              </w:rPr>
              <w:t>EDIFICACIONES ESPECIFICAS PARA LAS SALAS DE GENERACION</w:t>
            </w:r>
            <w:r>
              <w:rPr>
                <w:noProof/>
                <w:webHidden/>
              </w:rPr>
              <w:tab/>
            </w:r>
            <w:r>
              <w:rPr>
                <w:noProof/>
                <w:webHidden/>
              </w:rPr>
              <w:fldChar w:fldCharType="begin"/>
            </w:r>
            <w:r>
              <w:rPr>
                <w:noProof/>
                <w:webHidden/>
              </w:rPr>
              <w:instrText xml:space="preserve"> PAGEREF _Toc188539105 \h </w:instrText>
            </w:r>
            <w:r>
              <w:rPr>
                <w:noProof/>
                <w:webHidden/>
              </w:rPr>
            </w:r>
            <w:r>
              <w:rPr>
                <w:noProof/>
                <w:webHidden/>
              </w:rPr>
              <w:fldChar w:fldCharType="separate"/>
            </w:r>
            <w:r>
              <w:rPr>
                <w:noProof/>
                <w:webHidden/>
              </w:rPr>
              <w:t>27</w:t>
            </w:r>
            <w:r>
              <w:rPr>
                <w:noProof/>
                <w:webHidden/>
              </w:rPr>
              <w:fldChar w:fldCharType="end"/>
            </w:r>
          </w:hyperlink>
        </w:p>
        <w:p w14:paraId="1CB3D6B4" w14:textId="31CB624B" w:rsidR="00454394" w:rsidRDefault="00454394">
          <w:pPr>
            <w:pStyle w:val="TDC1"/>
            <w:tabs>
              <w:tab w:val="left" w:pos="1473"/>
              <w:tab w:val="right" w:leader="dot" w:pos="8828"/>
            </w:tabs>
            <w:rPr>
              <w:rFonts w:asciiTheme="minorHAnsi" w:eastAsiaTheme="minorEastAsia" w:hAnsiTheme="minorHAnsi" w:cstheme="minorBidi"/>
              <w:noProof/>
              <w:sz w:val="22"/>
            </w:rPr>
          </w:pPr>
          <w:hyperlink w:anchor="_Toc188539106" w:history="1">
            <w:r w:rsidRPr="00D57AB9">
              <w:rPr>
                <w:rStyle w:val="Hipervnculo"/>
                <w:rFonts w:ascii="Gadugi" w:eastAsia="Gadugi" w:hAnsi="Gadugi" w:cs="Gadugi"/>
                <w:b/>
                <w:noProof/>
              </w:rPr>
              <w:t>7.</w:t>
            </w:r>
            <w:r>
              <w:rPr>
                <w:rFonts w:asciiTheme="minorHAnsi" w:eastAsiaTheme="minorEastAsia" w:hAnsiTheme="minorHAnsi" w:cstheme="minorBidi"/>
                <w:noProof/>
                <w:sz w:val="22"/>
              </w:rPr>
              <w:tab/>
            </w:r>
            <w:r w:rsidRPr="00D57AB9">
              <w:rPr>
                <w:rStyle w:val="Hipervnculo"/>
                <w:rFonts w:ascii="Gadugi" w:eastAsia="Gadugi" w:hAnsi="Gadugi" w:cs="Gadugi"/>
                <w:b/>
                <w:noProof/>
              </w:rPr>
              <w:t>SISTEMAS OPERATIVOS ASOCIADOS DE LA CENTRAL ELÉCTRICA</w:t>
            </w:r>
            <w:r>
              <w:rPr>
                <w:noProof/>
                <w:webHidden/>
              </w:rPr>
              <w:tab/>
            </w:r>
            <w:r>
              <w:rPr>
                <w:noProof/>
                <w:webHidden/>
              </w:rPr>
              <w:fldChar w:fldCharType="begin"/>
            </w:r>
            <w:r>
              <w:rPr>
                <w:noProof/>
                <w:webHidden/>
              </w:rPr>
              <w:instrText xml:space="preserve"> PAGEREF _Toc188539106 \h </w:instrText>
            </w:r>
            <w:r>
              <w:rPr>
                <w:noProof/>
                <w:webHidden/>
              </w:rPr>
            </w:r>
            <w:r>
              <w:rPr>
                <w:noProof/>
                <w:webHidden/>
              </w:rPr>
              <w:fldChar w:fldCharType="separate"/>
            </w:r>
            <w:r>
              <w:rPr>
                <w:noProof/>
                <w:webHidden/>
              </w:rPr>
              <w:t>28</w:t>
            </w:r>
            <w:r>
              <w:rPr>
                <w:noProof/>
                <w:webHidden/>
              </w:rPr>
              <w:fldChar w:fldCharType="end"/>
            </w:r>
          </w:hyperlink>
        </w:p>
        <w:p w14:paraId="3A406FAA" w14:textId="246B0377"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107" w:history="1">
            <w:r w:rsidRPr="00D57AB9">
              <w:rPr>
                <w:rStyle w:val="Hipervnculo"/>
                <w:rFonts w:ascii="Gadugi" w:eastAsia="Gadugi" w:hAnsi="Gadugi" w:cs="Gadugi"/>
                <w:noProof/>
              </w:rPr>
              <w:t>7.1.</w:t>
            </w:r>
            <w:r>
              <w:rPr>
                <w:rFonts w:asciiTheme="minorHAnsi" w:eastAsiaTheme="minorEastAsia" w:hAnsiTheme="minorHAnsi" w:cstheme="minorBidi"/>
                <w:noProof/>
                <w:sz w:val="22"/>
              </w:rPr>
              <w:tab/>
            </w:r>
            <w:r w:rsidRPr="00D57AB9">
              <w:rPr>
                <w:rStyle w:val="Hipervnculo"/>
                <w:rFonts w:ascii="Gadugi" w:eastAsia="Gadugi" w:hAnsi="Gadugi" w:cs="Gadugi"/>
                <w:noProof/>
              </w:rPr>
              <w:t>ALMACENAMIENTO DE COMBUSTIBLE</w:t>
            </w:r>
            <w:r>
              <w:rPr>
                <w:noProof/>
                <w:webHidden/>
              </w:rPr>
              <w:tab/>
            </w:r>
            <w:r>
              <w:rPr>
                <w:noProof/>
                <w:webHidden/>
              </w:rPr>
              <w:fldChar w:fldCharType="begin"/>
            </w:r>
            <w:r>
              <w:rPr>
                <w:noProof/>
                <w:webHidden/>
              </w:rPr>
              <w:instrText xml:space="preserve"> PAGEREF _Toc188539107 \h </w:instrText>
            </w:r>
            <w:r>
              <w:rPr>
                <w:noProof/>
                <w:webHidden/>
              </w:rPr>
            </w:r>
            <w:r>
              <w:rPr>
                <w:noProof/>
                <w:webHidden/>
              </w:rPr>
              <w:fldChar w:fldCharType="separate"/>
            </w:r>
            <w:r>
              <w:rPr>
                <w:noProof/>
                <w:webHidden/>
              </w:rPr>
              <w:t>28</w:t>
            </w:r>
            <w:r>
              <w:rPr>
                <w:noProof/>
                <w:webHidden/>
              </w:rPr>
              <w:fldChar w:fldCharType="end"/>
            </w:r>
          </w:hyperlink>
        </w:p>
        <w:p w14:paraId="5508900B" w14:textId="2DD6B1D4" w:rsidR="00454394" w:rsidRDefault="00454394">
          <w:pPr>
            <w:pStyle w:val="TDC2"/>
            <w:tabs>
              <w:tab w:val="left" w:pos="1473"/>
              <w:tab w:val="right" w:leader="dot" w:pos="8828"/>
            </w:tabs>
            <w:rPr>
              <w:rFonts w:asciiTheme="minorHAnsi" w:eastAsiaTheme="minorEastAsia" w:hAnsiTheme="minorHAnsi" w:cstheme="minorBidi"/>
              <w:noProof/>
              <w:sz w:val="22"/>
            </w:rPr>
          </w:pPr>
          <w:hyperlink w:anchor="_Toc188539108" w:history="1">
            <w:r w:rsidRPr="00D57AB9">
              <w:rPr>
                <w:rStyle w:val="Hipervnculo"/>
                <w:rFonts w:ascii="Gadugi" w:eastAsia="Gadugi" w:hAnsi="Gadugi" w:cs="Gadugi"/>
                <w:noProof/>
              </w:rPr>
              <w:t>7.2.</w:t>
            </w:r>
            <w:r>
              <w:rPr>
                <w:rFonts w:asciiTheme="minorHAnsi" w:eastAsiaTheme="minorEastAsia" w:hAnsiTheme="minorHAnsi" w:cstheme="minorBidi"/>
                <w:noProof/>
                <w:sz w:val="22"/>
              </w:rPr>
              <w:tab/>
            </w:r>
            <w:r w:rsidRPr="00D57AB9">
              <w:rPr>
                <w:rStyle w:val="Hipervnculo"/>
                <w:rFonts w:ascii="Gadugi" w:eastAsia="Gadugi" w:hAnsi="Gadugi" w:cs="Gadugi"/>
                <w:noProof/>
              </w:rPr>
              <w:t>TUBERÍAS, VÁLVULAS, BOMBAS Y FILTROS</w:t>
            </w:r>
            <w:r>
              <w:rPr>
                <w:noProof/>
                <w:webHidden/>
              </w:rPr>
              <w:tab/>
            </w:r>
            <w:r>
              <w:rPr>
                <w:noProof/>
                <w:webHidden/>
              </w:rPr>
              <w:fldChar w:fldCharType="begin"/>
            </w:r>
            <w:r>
              <w:rPr>
                <w:noProof/>
                <w:webHidden/>
              </w:rPr>
              <w:instrText xml:space="preserve"> PAGEREF _Toc188539108 \h </w:instrText>
            </w:r>
            <w:r>
              <w:rPr>
                <w:noProof/>
                <w:webHidden/>
              </w:rPr>
            </w:r>
            <w:r>
              <w:rPr>
                <w:noProof/>
                <w:webHidden/>
              </w:rPr>
              <w:fldChar w:fldCharType="separate"/>
            </w:r>
            <w:r>
              <w:rPr>
                <w:noProof/>
                <w:webHidden/>
              </w:rPr>
              <w:t>29</w:t>
            </w:r>
            <w:r>
              <w:rPr>
                <w:noProof/>
                <w:webHidden/>
              </w:rPr>
              <w:fldChar w:fldCharType="end"/>
            </w:r>
          </w:hyperlink>
        </w:p>
        <w:p w14:paraId="448AD42E" w14:textId="3990C466" w:rsidR="00454394" w:rsidRDefault="00454394">
          <w:pPr>
            <w:pStyle w:val="TDC1"/>
            <w:tabs>
              <w:tab w:val="left" w:pos="1473"/>
              <w:tab w:val="right" w:leader="dot" w:pos="8828"/>
            </w:tabs>
            <w:rPr>
              <w:rFonts w:asciiTheme="minorHAnsi" w:eastAsiaTheme="minorEastAsia" w:hAnsiTheme="minorHAnsi" w:cstheme="minorBidi"/>
              <w:noProof/>
              <w:sz w:val="22"/>
            </w:rPr>
          </w:pPr>
          <w:hyperlink w:anchor="_Toc188539109" w:history="1">
            <w:r w:rsidRPr="00D57AB9">
              <w:rPr>
                <w:rStyle w:val="Hipervnculo"/>
                <w:rFonts w:ascii="Gadugi" w:eastAsia="Gadugi" w:hAnsi="Gadugi" w:cs="Gadugi"/>
                <w:b/>
                <w:noProof/>
              </w:rPr>
              <w:t>8.</w:t>
            </w:r>
            <w:r>
              <w:rPr>
                <w:rFonts w:asciiTheme="minorHAnsi" w:eastAsiaTheme="minorEastAsia" w:hAnsiTheme="minorHAnsi" w:cstheme="minorBidi"/>
                <w:noProof/>
                <w:sz w:val="22"/>
              </w:rPr>
              <w:tab/>
            </w:r>
            <w:r w:rsidRPr="00D57AB9">
              <w:rPr>
                <w:rStyle w:val="Hipervnculo"/>
                <w:rFonts w:ascii="Gadugi" w:eastAsia="Gadugi" w:hAnsi="Gadugi" w:cs="Gadugi"/>
                <w:b/>
                <w:noProof/>
              </w:rPr>
              <w:t>BIBLIOGRAFÍA</w:t>
            </w:r>
            <w:r>
              <w:rPr>
                <w:noProof/>
                <w:webHidden/>
              </w:rPr>
              <w:tab/>
            </w:r>
            <w:r>
              <w:rPr>
                <w:noProof/>
                <w:webHidden/>
              </w:rPr>
              <w:fldChar w:fldCharType="begin"/>
            </w:r>
            <w:r>
              <w:rPr>
                <w:noProof/>
                <w:webHidden/>
              </w:rPr>
              <w:instrText xml:space="preserve"> PAGEREF _Toc188539109 \h </w:instrText>
            </w:r>
            <w:r>
              <w:rPr>
                <w:noProof/>
                <w:webHidden/>
              </w:rPr>
            </w:r>
            <w:r>
              <w:rPr>
                <w:noProof/>
                <w:webHidden/>
              </w:rPr>
              <w:fldChar w:fldCharType="separate"/>
            </w:r>
            <w:r>
              <w:rPr>
                <w:noProof/>
                <w:webHidden/>
              </w:rPr>
              <w:t>30</w:t>
            </w:r>
            <w:r>
              <w:rPr>
                <w:noProof/>
                <w:webHidden/>
              </w:rPr>
              <w:fldChar w:fldCharType="end"/>
            </w:r>
          </w:hyperlink>
        </w:p>
        <w:p w14:paraId="585E0DC2" w14:textId="1CFACEEA" w:rsidR="007462F0" w:rsidRPr="002815F9" w:rsidRDefault="00D75401">
          <w:r>
            <w:rPr>
              <w:b/>
              <w:bCs/>
              <w:lang w:val="es-ES"/>
            </w:rPr>
            <w:fldChar w:fldCharType="end"/>
          </w:r>
        </w:p>
      </w:sdtContent>
    </w:sdt>
    <w:p w14:paraId="3A6FC0FC" w14:textId="21059F41" w:rsidR="00D211AC" w:rsidRDefault="00D211AC" w:rsidP="00D211AC">
      <w:pPr>
        <w:jc w:val="center"/>
        <w:rPr>
          <w:rFonts w:ascii="Gadugi" w:eastAsia="Gadugi" w:hAnsi="Gadugi" w:cs="Gadugi"/>
          <w:b/>
          <w:color w:val="000000"/>
          <w:sz w:val="24"/>
          <w:szCs w:val="24"/>
        </w:rPr>
      </w:pPr>
      <w:r w:rsidRPr="00D211AC">
        <w:rPr>
          <w:rFonts w:ascii="Gadugi" w:eastAsia="Gadugi" w:hAnsi="Gadugi" w:cs="Gadugi"/>
          <w:b/>
          <w:color w:val="000000"/>
          <w:sz w:val="24"/>
          <w:szCs w:val="24"/>
        </w:rPr>
        <w:t>ÍNDICE DE FIGURAS</w:t>
      </w:r>
    </w:p>
    <w:p w14:paraId="6FBB3908" w14:textId="77777777" w:rsidR="00D211AC" w:rsidRPr="00D211AC" w:rsidRDefault="00D211AC" w:rsidP="00D211AC">
      <w:pPr>
        <w:jc w:val="center"/>
        <w:rPr>
          <w:rFonts w:ascii="Gadugi" w:eastAsia="Gadugi" w:hAnsi="Gadugi" w:cs="Gadugi"/>
          <w:b/>
          <w:color w:val="000000"/>
          <w:sz w:val="24"/>
          <w:szCs w:val="24"/>
        </w:rPr>
      </w:pPr>
    </w:p>
    <w:p w14:paraId="1728188E" w14:textId="49224009" w:rsidR="00D211AC" w:rsidRDefault="00D211AC">
      <w:pPr>
        <w:pStyle w:val="Tabladeilustraciones"/>
        <w:tabs>
          <w:tab w:val="right" w:leader="dot" w:pos="8828"/>
        </w:tabs>
        <w:rPr>
          <w:rFonts w:asciiTheme="minorHAnsi" w:eastAsiaTheme="minorEastAsia" w:hAnsiTheme="minorHAnsi" w:cstheme="minorBidi"/>
          <w:noProof/>
          <w:sz w:val="22"/>
        </w:rPr>
      </w:pPr>
      <w:r>
        <w:rPr>
          <w:rFonts w:ascii="Gadugi" w:eastAsia="Gadugi" w:hAnsi="Gadugi" w:cs="Gadugi"/>
          <w:b/>
          <w:color w:val="000000"/>
          <w:szCs w:val="24"/>
        </w:rPr>
        <w:fldChar w:fldCharType="begin"/>
      </w:r>
      <w:r>
        <w:rPr>
          <w:rFonts w:ascii="Gadugi" w:eastAsia="Gadugi" w:hAnsi="Gadugi" w:cs="Gadugi"/>
          <w:b/>
          <w:color w:val="000000"/>
          <w:szCs w:val="24"/>
        </w:rPr>
        <w:instrText xml:space="preserve"> TOC \h \z \c "Figura" </w:instrText>
      </w:r>
      <w:r>
        <w:rPr>
          <w:rFonts w:ascii="Gadugi" w:eastAsia="Gadugi" w:hAnsi="Gadugi" w:cs="Gadugi"/>
          <w:b/>
          <w:color w:val="000000"/>
          <w:szCs w:val="24"/>
        </w:rPr>
        <w:fldChar w:fldCharType="separate"/>
      </w:r>
      <w:hyperlink w:anchor="_Toc176420568" w:history="1">
        <w:r w:rsidRPr="00BF263F">
          <w:rPr>
            <w:rStyle w:val="Hipervnculo"/>
            <w:noProof/>
          </w:rPr>
          <w:t>Figura 1. Central eléctrica de respaldo y sus sistemas asociados</w:t>
        </w:r>
        <w:r>
          <w:rPr>
            <w:noProof/>
            <w:webHidden/>
          </w:rPr>
          <w:tab/>
        </w:r>
        <w:r>
          <w:rPr>
            <w:noProof/>
            <w:webHidden/>
          </w:rPr>
          <w:fldChar w:fldCharType="begin"/>
        </w:r>
        <w:r>
          <w:rPr>
            <w:noProof/>
            <w:webHidden/>
          </w:rPr>
          <w:instrText xml:space="preserve"> PAGEREF _Toc176420568 \h </w:instrText>
        </w:r>
        <w:r>
          <w:rPr>
            <w:noProof/>
            <w:webHidden/>
          </w:rPr>
        </w:r>
        <w:r>
          <w:rPr>
            <w:noProof/>
            <w:webHidden/>
          </w:rPr>
          <w:fldChar w:fldCharType="separate"/>
        </w:r>
        <w:r w:rsidR="0047714C">
          <w:rPr>
            <w:noProof/>
            <w:webHidden/>
          </w:rPr>
          <w:t>11</w:t>
        </w:r>
        <w:r>
          <w:rPr>
            <w:noProof/>
            <w:webHidden/>
          </w:rPr>
          <w:fldChar w:fldCharType="end"/>
        </w:r>
      </w:hyperlink>
    </w:p>
    <w:p w14:paraId="7842D035" w14:textId="00996338" w:rsidR="00D211AC" w:rsidRDefault="0094270F">
      <w:pPr>
        <w:pStyle w:val="Tabladeilustraciones"/>
        <w:tabs>
          <w:tab w:val="right" w:leader="dot" w:pos="8828"/>
        </w:tabs>
        <w:rPr>
          <w:rFonts w:asciiTheme="minorHAnsi" w:eastAsiaTheme="minorEastAsia" w:hAnsiTheme="minorHAnsi" w:cstheme="minorBidi"/>
          <w:noProof/>
          <w:sz w:val="22"/>
        </w:rPr>
      </w:pPr>
      <w:hyperlink w:anchor="_Toc176420569" w:history="1">
        <w:r w:rsidR="00D211AC" w:rsidRPr="00BF263F">
          <w:rPr>
            <w:rStyle w:val="Hipervnculo"/>
            <w:noProof/>
          </w:rPr>
          <w:t>Figura 2. Tablero de celdas de seccionamiento.</w:t>
        </w:r>
        <w:r w:rsidR="00D211AC">
          <w:rPr>
            <w:noProof/>
            <w:webHidden/>
          </w:rPr>
          <w:tab/>
        </w:r>
        <w:r w:rsidR="00D211AC">
          <w:rPr>
            <w:noProof/>
            <w:webHidden/>
          </w:rPr>
          <w:fldChar w:fldCharType="begin"/>
        </w:r>
        <w:r w:rsidR="00D211AC">
          <w:rPr>
            <w:noProof/>
            <w:webHidden/>
          </w:rPr>
          <w:instrText xml:space="preserve"> PAGEREF _Toc176420569 \h </w:instrText>
        </w:r>
        <w:r w:rsidR="00D211AC">
          <w:rPr>
            <w:noProof/>
            <w:webHidden/>
          </w:rPr>
        </w:r>
        <w:r w:rsidR="00D211AC">
          <w:rPr>
            <w:noProof/>
            <w:webHidden/>
          </w:rPr>
          <w:fldChar w:fldCharType="separate"/>
        </w:r>
        <w:r w:rsidR="0047714C">
          <w:rPr>
            <w:noProof/>
            <w:webHidden/>
          </w:rPr>
          <w:t>17</w:t>
        </w:r>
        <w:r w:rsidR="00D211AC">
          <w:rPr>
            <w:noProof/>
            <w:webHidden/>
          </w:rPr>
          <w:fldChar w:fldCharType="end"/>
        </w:r>
      </w:hyperlink>
    </w:p>
    <w:p w14:paraId="23C012A6" w14:textId="363A6C2D" w:rsidR="00D211AC" w:rsidRDefault="00D211AC" w:rsidP="00D211AC">
      <w:pPr>
        <w:jc w:val="center"/>
        <w:rPr>
          <w:rFonts w:ascii="Gadugi" w:eastAsia="Gadugi" w:hAnsi="Gadugi" w:cs="Gadugi"/>
          <w:b/>
          <w:color w:val="000000"/>
          <w:sz w:val="24"/>
          <w:szCs w:val="24"/>
        </w:rPr>
      </w:pPr>
      <w:r>
        <w:rPr>
          <w:rFonts w:ascii="Gadugi" w:eastAsia="Gadugi" w:hAnsi="Gadugi" w:cs="Gadugi"/>
          <w:b/>
          <w:color w:val="000000"/>
          <w:sz w:val="24"/>
          <w:szCs w:val="24"/>
        </w:rPr>
        <w:fldChar w:fldCharType="end"/>
      </w:r>
    </w:p>
    <w:p w14:paraId="2B42ADA2" w14:textId="77777777" w:rsidR="007462F0" w:rsidRDefault="009A2A4C">
      <w:pPr>
        <w:rPr>
          <w:rFonts w:ascii="Gadugi" w:eastAsia="Gadugi" w:hAnsi="Gadugi" w:cs="Gadugi"/>
          <w:color w:val="000000"/>
          <w:sz w:val="18"/>
          <w:szCs w:val="18"/>
        </w:rPr>
      </w:pPr>
      <w:r>
        <w:br w:type="page"/>
      </w:r>
    </w:p>
    <w:p w14:paraId="2DDB7F9C" w14:textId="77777777" w:rsidR="007462F0" w:rsidRDefault="007462F0">
      <w:pPr>
        <w:tabs>
          <w:tab w:val="left" w:pos="8505"/>
        </w:tabs>
        <w:rPr>
          <w:rFonts w:ascii="Gadugi" w:eastAsia="Gadugi" w:hAnsi="Gadugi" w:cs="Gadugi"/>
          <w:color w:val="000000"/>
          <w:sz w:val="18"/>
          <w:szCs w:val="18"/>
        </w:rPr>
      </w:pPr>
    </w:p>
    <w:p w14:paraId="58BB4E4D" w14:textId="77777777" w:rsidR="007462F0" w:rsidRDefault="007462F0">
      <w:pPr>
        <w:tabs>
          <w:tab w:val="left" w:pos="8505"/>
        </w:tabs>
        <w:rPr>
          <w:rFonts w:ascii="Gadugi" w:eastAsia="Gadugi" w:hAnsi="Gadugi" w:cs="Gadugi"/>
          <w:color w:val="000000"/>
          <w:sz w:val="18"/>
          <w:szCs w:val="18"/>
        </w:rPr>
      </w:pPr>
    </w:p>
    <w:p w14:paraId="24B7B684" w14:textId="77777777" w:rsidR="007462F0" w:rsidRDefault="007462F0">
      <w:pPr>
        <w:tabs>
          <w:tab w:val="left" w:pos="8505"/>
        </w:tabs>
        <w:rPr>
          <w:rFonts w:ascii="Gadugi" w:eastAsia="Gadugi" w:hAnsi="Gadugi" w:cs="Gadugi"/>
          <w:color w:val="000000"/>
          <w:sz w:val="18"/>
          <w:szCs w:val="18"/>
        </w:rPr>
      </w:pPr>
    </w:p>
    <w:tbl>
      <w:tblPr>
        <w:tblStyle w:val="a"/>
        <w:tblW w:w="6481" w:type="dxa"/>
        <w:jc w:val="center"/>
        <w:tblLayout w:type="fixed"/>
        <w:tblLook w:val="0400" w:firstRow="0" w:lastRow="0" w:firstColumn="0" w:lastColumn="0" w:noHBand="0" w:noVBand="1"/>
      </w:tblPr>
      <w:tblGrid>
        <w:gridCol w:w="1941"/>
        <w:gridCol w:w="2526"/>
        <w:gridCol w:w="2014"/>
      </w:tblGrid>
      <w:tr w:rsidR="007462F0" w14:paraId="0C59CE00" w14:textId="77777777">
        <w:trPr>
          <w:trHeight w:val="366"/>
          <w:jc w:val="center"/>
        </w:trPr>
        <w:tc>
          <w:tcPr>
            <w:tcW w:w="6482" w:type="dxa"/>
            <w:gridSpan w:val="3"/>
            <w:tcBorders>
              <w:top w:val="single" w:sz="4" w:space="0" w:color="000000"/>
              <w:left w:val="single" w:sz="4" w:space="0" w:color="000000"/>
              <w:bottom w:val="single" w:sz="4" w:space="0" w:color="000000"/>
              <w:right w:val="single" w:sz="4" w:space="0" w:color="000000"/>
            </w:tcBorders>
            <w:vAlign w:val="center"/>
          </w:tcPr>
          <w:p w14:paraId="36E1B7ED" w14:textId="77777777" w:rsidR="007462F0" w:rsidRDefault="009A2A4C">
            <w:pPr>
              <w:jc w:val="center"/>
              <w:rPr>
                <w:rFonts w:ascii="Gadugi" w:eastAsia="Gadugi" w:hAnsi="Gadugi" w:cs="Gadugi"/>
                <w:b/>
                <w:color w:val="000000"/>
              </w:rPr>
            </w:pPr>
            <w:r>
              <w:rPr>
                <w:rFonts w:ascii="Gadugi" w:eastAsia="Gadugi" w:hAnsi="Gadugi" w:cs="Gadugi"/>
                <w:b/>
                <w:color w:val="000000"/>
              </w:rPr>
              <w:t>ÍNDICE DE REVISIONES</w:t>
            </w:r>
          </w:p>
        </w:tc>
      </w:tr>
      <w:tr w:rsidR="007462F0" w14:paraId="2A3F06A2" w14:textId="77777777">
        <w:trPr>
          <w:trHeight w:val="478"/>
          <w:jc w:val="center"/>
        </w:trPr>
        <w:tc>
          <w:tcPr>
            <w:tcW w:w="1942" w:type="dxa"/>
            <w:tcBorders>
              <w:top w:val="nil"/>
              <w:left w:val="single" w:sz="4" w:space="0" w:color="000000"/>
              <w:bottom w:val="single" w:sz="4" w:space="0" w:color="000000"/>
              <w:right w:val="single" w:sz="4" w:space="0" w:color="000000"/>
            </w:tcBorders>
            <w:vAlign w:val="center"/>
          </w:tcPr>
          <w:p w14:paraId="6C4093BD" w14:textId="77777777" w:rsidR="007462F0" w:rsidRDefault="009A2A4C">
            <w:pPr>
              <w:jc w:val="center"/>
              <w:rPr>
                <w:rFonts w:ascii="Gadugi" w:eastAsia="Gadugi" w:hAnsi="Gadugi" w:cs="Gadugi"/>
                <w:b/>
                <w:color w:val="000000"/>
              </w:rPr>
            </w:pPr>
            <w:r>
              <w:rPr>
                <w:rFonts w:ascii="Gadugi" w:eastAsia="Gadugi" w:hAnsi="Gadugi" w:cs="Gadugi"/>
                <w:b/>
                <w:color w:val="000000"/>
              </w:rPr>
              <w:t>ÍNDICE REVISIÓN</w:t>
            </w:r>
          </w:p>
        </w:tc>
        <w:tc>
          <w:tcPr>
            <w:tcW w:w="2526" w:type="dxa"/>
            <w:tcBorders>
              <w:top w:val="nil"/>
              <w:left w:val="nil"/>
              <w:bottom w:val="single" w:sz="4" w:space="0" w:color="000000"/>
              <w:right w:val="single" w:sz="4" w:space="0" w:color="000000"/>
            </w:tcBorders>
            <w:vAlign w:val="center"/>
          </w:tcPr>
          <w:p w14:paraId="0470AD47" w14:textId="77777777" w:rsidR="007462F0" w:rsidRDefault="009A2A4C">
            <w:pPr>
              <w:jc w:val="center"/>
              <w:rPr>
                <w:rFonts w:ascii="Gadugi" w:eastAsia="Gadugi" w:hAnsi="Gadugi" w:cs="Gadugi"/>
                <w:b/>
                <w:color w:val="000000"/>
              </w:rPr>
            </w:pPr>
            <w:r>
              <w:rPr>
                <w:rFonts w:ascii="Gadugi" w:eastAsia="Gadugi" w:hAnsi="Gadugi" w:cs="Gadugi"/>
                <w:b/>
                <w:color w:val="000000"/>
              </w:rPr>
              <w:t>FECHA MODIFICACIÓN</w:t>
            </w:r>
          </w:p>
        </w:tc>
        <w:tc>
          <w:tcPr>
            <w:tcW w:w="2014" w:type="dxa"/>
            <w:tcBorders>
              <w:top w:val="nil"/>
              <w:left w:val="nil"/>
              <w:bottom w:val="single" w:sz="4" w:space="0" w:color="000000"/>
              <w:right w:val="single" w:sz="4" w:space="0" w:color="000000"/>
            </w:tcBorders>
            <w:vAlign w:val="center"/>
          </w:tcPr>
          <w:p w14:paraId="71B43AC2" w14:textId="77777777" w:rsidR="007462F0" w:rsidRDefault="009A2A4C">
            <w:pPr>
              <w:jc w:val="center"/>
              <w:rPr>
                <w:rFonts w:ascii="Gadugi" w:eastAsia="Gadugi" w:hAnsi="Gadugi" w:cs="Gadugi"/>
                <w:b/>
                <w:color w:val="000000"/>
              </w:rPr>
            </w:pPr>
            <w:r>
              <w:rPr>
                <w:rFonts w:ascii="Gadugi" w:eastAsia="Gadugi" w:hAnsi="Gadugi" w:cs="Gadugi"/>
                <w:b/>
                <w:color w:val="000000"/>
              </w:rPr>
              <w:t>MODIFICACIONES</w:t>
            </w:r>
          </w:p>
        </w:tc>
      </w:tr>
      <w:tr w:rsidR="007462F0" w14:paraId="1A179359" w14:textId="77777777">
        <w:trPr>
          <w:trHeight w:val="307"/>
          <w:jc w:val="center"/>
        </w:trPr>
        <w:tc>
          <w:tcPr>
            <w:tcW w:w="1942" w:type="dxa"/>
            <w:tcBorders>
              <w:top w:val="nil"/>
              <w:left w:val="single" w:sz="4" w:space="0" w:color="000000"/>
              <w:bottom w:val="single" w:sz="4" w:space="0" w:color="000000"/>
              <w:right w:val="single" w:sz="4" w:space="0" w:color="000000"/>
            </w:tcBorders>
            <w:vAlign w:val="bottom"/>
          </w:tcPr>
          <w:p w14:paraId="4EEE4CE4" w14:textId="77777777" w:rsidR="007462F0" w:rsidRDefault="007462F0">
            <w:pPr>
              <w:rPr>
                <w:rFonts w:ascii="Gadugi" w:eastAsia="Gadugi" w:hAnsi="Gadugi" w:cs="Gadugi"/>
                <w:color w:val="000000"/>
              </w:rPr>
            </w:pPr>
          </w:p>
        </w:tc>
        <w:tc>
          <w:tcPr>
            <w:tcW w:w="2526" w:type="dxa"/>
            <w:tcBorders>
              <w:top w:val="nil"/>
              <w:left w:val="nil"/>
              <w:bottom w:val="single" w:sz="4" w:space="0" w:color="000000"/>
              <w:right w:val="single" w:sz="4" w:space="0" w:color="000000"/>
            </w:tcBorders>
            <w:vAlign w:val="bottom"/>
          </w:tcPr>
          <w:p w14:paraId="2708B114" w14:textId="77777777" w:rsidR="007462F0" w:rsidRDefault="007462F0">
            <w:pPr>
              <w:rPr>
                <w:rFonts w:ascii="Gadugi" w:eastAsia="Gadugi" w:hAnsi="Gadugi" w:cs="Gadugi"/>
                <w:color w:val="000000"/>
              </w:rPr>
            </w:pPr>
          </w:p>
          <w:p w14:paraId="137E1579" w14:textId="77777777" w:rsidR="007462F0" w:rsidRDefault="007462F0">
            <w:pPr>
              <w:rPr>
                <w:rFonts w:ascii="Gadugi" w:eastAsia="Gadugi" w:hAnsi="Gadugi" w:cs="Gadugi"/>
                <w:color w:val="000000"/>
              </w:rPr>
            </w:pPr>
          </w:p>
        </w:tc>
        <w:tc>
          <w:tcPr>
            <w:tcW w:w="2014" w:type="dxa"/>
            <w:tcBorders>
              <w:top w:val="nil"/>
              <w:left w:val="nil"/>
              <w:bottom w:val="single" w:sz="4" w:space="0" w:color="000000"/>
              <w:right w:val="single" w:sz="4" w:space="0" w:color="000000"/>
            </w:tcBorders>
            <w:vAlign w:val="bottom"/>
          </w:tcPr>
          <w:p w14:paraId="670A8830" w14:textId="77777777" w:rsidR="007462F0" w:rsidRDefault="009A2A4C">
            <w:pPr>
              <w:rPr>
                <w:rFonts w:ascii="Gadugi" w:eastAsia="Gadugi" w:hAnsi="Gadugi" w:cs="Gadugi"/>
                <w:color w:val="000000"/>
              </w:rPr>
            </w:pPr>
            <w:r>
              <w:rPr>
                <w:rFonts w:ascii="Gadugi" w:eastAsia="Gadugi" w:hAnsi="Gadugi" w:cs="Gadugi"/>
                <w:color w:val="000000"/>
              </w:rPr>
              <w:t> </w:t>
            </w:r>
          </w:p>
        </w:tc>
      </w:tr>
      <w:tr w:rsidR="007462F0" w14:paraId="26230E98" w14:textId="77777777">
        <w:trPr>
          <w:trHeight w:val="293"/>
          <w:jc w:val="center"/>
        </w:trPr>
        <w:tc>
          <w:tcPr>
            <w:tcW w:w="1942" w:type="dxa"/>
            <w:tcBorders>
              <w:top w:val="nil"/>
              <w:left w:val="single" w:sz="4" w:space="0" w:color="000000"/>
              <w:bottom w:val="single" w:sz="4" w:space="0" w:color="000000"/>
              <w:right w:val="single" w:sz="4" w:space="0" w:color="000000"/>
            </w:tcBorders>
            <w:vAlign w:val="bottom"/>
          </w:tcPr>
          <w:p w14:paraId="157C851E" w14:textId="77777777" w:rsidR="007462F0" w:rsidRDefault="007462F0">
            <w:pPr>
              <w:rPr>
                <w:rFonts w:ascii="Gadugi" w:eastAsia="Gadugi" w:hAnsi="Gadugi" w:cs="Gadugi"/>
                <w:color w:val="000000"/>
              </w:rPr>
            </w:pPr>
          </w:p>
        </w:tc>
        <w:tc>
          <w:tcPr>
            <w:tcW w:w="2526" w:type="dxa"/>
            <w:tcBorders>
              <w:top w:val="nil"/>
              <w:left w:val="nil"/>
              <w:bottom w:val="single" w:sz="4" w:space="0" w:color="000000"/>
              <w:right w:val="single" w:sz="4" w:space="0" w:color="000000"/>
            </w:tcBorders>
            <w:vAlign w:val="bottom"/>
          </w:tcPr>
          <w:p w14:paraId="650B83D2" w14:textId="77777777" w:rsidR="007462F0" w:rsidRDefault="007462F0">
            <w:pPr>
              <w:rPr>
                <w:rFonts w:ascii="Gadugi" w:eastAsia="Gadugi" w:hAnsi="Gadugi" w:cs="Gadugi"/>
              </w:rPr>
            </w:pPr>
          </w:p>
        </w:tc>
        <w:tc>
          <w:tcPr>
            <w:tcW w:w="2014" w:type="dxa"/>
            <w:tcBorders>
              <w:top w:val="nil"/>
              <w:left w:val="nil"/>
              <w:bottom w:val="single" w:sz="4" w:space="0" w:color="000000"/>
              <w:right w:val="single" w:sz="4" w:space="0" w:color="000000"/>
            </w:tcBorders>
            <w:vAlign w:val="bottom"/>
          </w:tcPr>
          <w:p w14:paraId="05CD0AC6" w14:textId="77777777" w:rsidR="007462F0" w:rsidRDefault="009A2A4C">
            <w:pPr>
              <w:rPr>
                <w:rFonts w:ascii="Gadugi" w:eastAsia="Gadugi" w:hAnsi="Gadugi" w:cs="Gadugi"/>
                <w:color w:val="000000"/>
              </w:rPr>
            </w:pPr>
            <w:r>
              <w:rPr>
                <w:rFonts w:ascii="Gadugi" w:eastAsia="Gadugi" w:hAnsi="Gadugi" w:cs="Gadugi"/>
                <w:color w:val="000000"/>
              </w:rPr>
              <w:t> </w:t>
            </w:r>
          </w:p>
        </w:tc>
      </w:tr>
    </w:tbl>
    <w:p w14:paraId="29F3ADB2" w14:textId="77777777" w:rsidR="007462F0" w:rsidRDefault="007462F0">
      <w:pPr>
        <w:rPr>
          <w:rFonts w:ascii="Gadugi" w:eastAsia="Gadugi" w:hAnsi="Gadugi" w:cs="Gadugi"/>
        </w:rPr>
      </w:pPr>
    </w:p>
    <w:p w14:paraId="045B3C4A" w14:textId="77777777" w:rsidR="007462F0" w:rsidRDefault="007462F0">
      <w:pPr>
        <w:rPr>
          <w:rFonts w:ascii="Gadugi" w:eastAsia="Gadugi" w:hAnsi="Gadugi" w:cs="Gadugi"/>
        </w:rPr>
      </w:pPr>
    </w:p>
    <w:p w14:paraId="3B24A652" w14:textId="77777777" w:rsidR="007462F0" w:rsidRDefault="007462F0">
      <w:pPr>
        <w:tabs>
          <w:tab w:val="left" w:pos="8505"/>
        </w:tabs>
        <w:rPr>
          <w:rFonts w:ascii="Gadugi" w:eastAsia="Gadugi" w:hAnsi="Gadugi" w:cs="Gadugi"/>
          <w:color w:val="000000"/>
          <w:sz w:val="18"/>
          <w:szCs w:val="18"/>
        </w:rPr>
      </w:pPr>
    </w:p>
    <w:tbl>
      <w:tblPr>
        <w:tblStyle w:val="a0"/>
        <w:tblW w:w="5149" w:type="dxa"/>
        <w:jc w:val="center"/>
        <w:tblLayout w:type="fixed"/>
        <w:tblLook w:val="0400" w:firstRow="0" w:lastRow="0" w:firstColumn="0" w:lastColumn="0" w:noHBand="0" w:noVBand="1"/>
      </w:tblPr>
      <w:tblGrid>
        <w:gridCol w:w="1276"/>
        <w:gridCol w:w="1093"/>
        <w:gridCol w:w="8"/>
        <w:gridCol w:w="2772"/>
      </w:tblGrid>
      <w:tr w:rsidR="007462F0" w14:paraId="0FAEC697" w14:textId="77777777">
        <w:trPr>
          <w:trHeight w:val="315"/>
          <w:jc w:val="center"/>
        </w:trPr>
        <w:tc>
          <w:tcPr>
            <w:tcW w:w="23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80D5D8D" w14:textId="77777777" w:rsidR="007462F0" w:rsidRDefault="009A2A4C">
            <w:pPr>
              <w:spacing w:before="240"/>
              <w:rPr>
                <w:rFonts w:ascii="Gadugi" w:eastAsia="Gadugi" w:hAnsi="Gadugi" w:cs="Gadugi"/>
                <w:b/>
                <w:color w:val="000000"/>
              </w:rPr>
            </w:pPr>
            <w:r>
              <w:rPr>
                <w:rFonts w:ascii="Gadugi" w:eastAsia="Gadugi" w:hAnsi="Gadugi" w:cs="Gadugi"/>
                <w:b/>
                <w:color w:val="000000"/>
              </w:rPr>
              <w:t>VERSIÓN No.</w:t>
            </w:r>
          </w:p>
        </w:tc>
        <w:tc>
          <w:tcPr>
            <w:tcW w:w="2772" w:type="dxa"/>
            <w:tcBorders>
              <w:top w:val="single" w:sz="4" w:space="0" w:color="000000"/>
              <w:left w:val="nil"/>
              <w:bottom w:val="single" w:sz="4" w:space="0" w:color="000000"/>
              <w:right w:val="single" w:sz="4" w:space="0" w:color="000000"/>
            </w:tcBorders>
            <w:shd w:val="clear" w:color="auto" w:fill="auto"/>
            <w:vAlign w:val="center"/>
          </w:tcPr>
          <w:p w14:paraId="03CAA1D3" w14:textId="77777777" w:rsidR="007462F0" w:rsidRDefault="009A2A4C">
            <w:pPr>
              <w:spacing w:before="240"/>
              <w:jc w:val="center"/>
              <w:rPr>
                <w:rFonts w:ascii="Gadugi" w:eastAsia="Gadugi" w:hAnsi="Gadugi" w:cs="Gadugi"/>
                <w:b/>
                <w:color w:val="000000"/>
              </w:rPr>
            </w:pPr>
            <w:r>
              <w:rPr>
                <w:rFonts w:ascii="Gadugi" w:eastAsia="Gadugi" w:hAnsi="Gadugi" w:cs="Gadugi"/>
                <w:b/>
                <w:color w:val="000000"/>
              </w:rPr>
              <w:t>0</w:t>
            </w:r>
          </w:p>
        </w:tc>
      </w:tr>
      <w:tr w:rsidR="007462F0" w14:paraId="5C61C793" w14:textId="77777777">
        <w:trPr>
          <w:trHeight w:val="277"/>
          <w:jc w:val="center"/>
        </w:trPr>
        <w:tc>
          <w:tcPr>
            <w:tcW w:w="1276" w:type="dxa"/>
            <w:vMerge w:val="restart"/>
            <w:tcBorders>
              <w:top w:val="nil"/>
              <w:left w:val="single" w:sz="4" w:space="0" w:color="000000"/>
              <w:bottom w:val="single" w:sz="4" w:space="0" w:color="000000"/>
              <w:right w:val="single" w:sz="4" w:space="0" w:color="000000"/>
            </w:tcBorders>
            <w:shd w:val="clear" w:color="auto" w:fill="auto"/>
            <w:vAlign w:val="center"/>
          </w:tcPr>
          <w:p w14:paraId="3F054567" w14:textId="77777777" w:rsidR="007462F0" w:rsidRDefault="009A2A4C">
            <w:pPr>
              <w:spacing w:before="240"/>
              <w:rPr>
                <w:rFonts w:ascii="Gadugi" w:eastAsia="Gadugi" w:hAnsi="Gadugi" w:cs="Gadugi"/>
                <w:b/>
                <w:color w:val="000000"/>
              </w:rPr>
            </w:pPr>
            <w:r>
              <w:rPr>
                <w:rFonts w:ascii="Gadugi" w:eastAsia="Gadugi" w:hAnsi="Gadugi" w:cs="Gadugi"/>
                <w:b/>
                <w:color w:val="000000"/>
              </w:rPr>
              <w:t>PREPARÓ:</w:t>
            </w:r>
          </w:p>
        </w:tc>
        <w:tc>
          <w:tcPr>
            <w:tcW w:w="1093" w:type="dxa"/>
            <w:tcBorders>
              <w:top w:val="nil"/>
              <w:left w:val="nil"/>
              <w:bottom w:val="single" w:sz="4" w:space="0" w:color="000000"/>
              <w:right w:val="single" w:sz="4" w:space="0" w:color="000000"/>
            </w:tcBorders>
            <w:shd w:val="clear" w:color="auto" w:fill="auto"/>
            <w:vAlign w:val="center"/>
          </w:tcPr>
          <w:p w14:paraId="48446340" w14:textId="77777777" w:rsidR="007462F0" w:rsidRDefault="009A2A4C">
            <w:pPr>
              <w:spacing w:before="240"/>
              <w:rPr>
                <w:rFonts w:ascii="Gadugi" w:eastAsia="Gadugi" w:hAnsi="Gadugi" w:cs="Gadugi"/>
                <w:b/>
                <w:color w:val="000000"/>
              </w:rPr>
            </w:pPr>
            <w:r>
              <w:rPr>
                <w:rFonts w:ascii="Gadugi" w:eastAsia="Gadugi" w:hAnsi="Gadugi" w:cs="Gadugi"/>
                <w:b/>
                <w:color w:val="000000"/>
              </w:rPr>
              <w:t>NOMBRE</w:t>
            </w:r>
          </w:p>
        </w:tc>
        <w:tc>
          <w:tcPr>
            <w:tcW w:w="2780" w:type="dxa"/>
            <w:gridSpan w:val="2"/>
            <w:tcBorders>
              <w:top w:val="single" w:sz="4" w:space="0" w:color="000000"/>
              <w:left w:val="nil"/>
              <w:bottom w:val="single" w:sz="4" w:space="0" w:color="000000"/>
              <w:right w:val="single" w:sz="4" w:space="0" w:color="000000"/>
            </w:tcBorders>
            <w:shd w:val="clear" w:color="auto" w:fill="auto"/>
            <w:vAlign w:val="center"/>
          </w:tcPr>
          <w:p w14:paraId="02A05822" w14:textId="77777777" w:rsidR="007462F0" w:rsidRDefault="009A2A4C">
            <w:pPr>
              <w:spacing w:before="240"/>
              <w:rPr>
                <w:rFonts w:ascii="Gadugi" w:eastAsia="Gadugi" w:hAnsi="Gadugi" w:cs="Gadugi"/>
                <w:color w:val="000000"/>
              </w:rPr>
            </w:pPr>
            <w:r>
              <w:rPr>
                <w:rFonts w:ascii="Gadugi" w:eastAsia="Gadugi" w:hAnsi="Gadugi" w:cs="Gadugi"/>
                <w:color w:val="000000"/>
              </w:rPr>
              <w:t xml:space="preserve">Santiago </w:t>
            </w:r>
            <w:proofErr w:type="spellStart"/>
            <w:r>
              <w:rPr>
                <w:rFonts w:ascii="Gadugi" w:eastAsia="Gadugi" w:hAnsi="Gadugi" w:cs="Gadugi"/>
                <w:color w:val="000000"/>
              </w:rPr>
              <w:t>Molano</w:t>
            </w:r>
            <w:proofErr w:type="spellEnd"/>
            <w:r>
              <w:rPr>
                <w:rFonts w:ascii="Gadugi" w:eastAsia="Gadugi" w:hAnsi="Gadugi" w:cs="Gadugi"/>
                <w:color w:val="000000"/>
              </w:rPr>
              <w:t xml:space="preserve"> Acevedo</w:t>
            </w:r>
          </w:p>
        </w:tc>
      </w:tr>
      <w:tr w:rsidR="007462F0" w14:paraId="304A87A9" w14:textId="77777777">
        <w:trPr>
          <w:trHeight w:val="315"/>
          <w:jc w:val="center"/>
        </w:trPr>
        <w:tc>
          <w:tcPr>
            <w:tcW w:w="1276" w:type="dxa"/>
            <w:vMerge/>
            <w:tcBorders>
              <w:top w:val="nil"/>
              <w:left w:val="single" w:sz="4" w:space="0" w:color="000000"/>
              <w:bottom w:val="single" w:sz="4" w:space="0" w:color="000000"/>
              <w:right w:val="single" w:sz="4" w:space="0" w:color="000000"/>
            </w:tcBorders>
            <w:shd w:val="clear" w:color="auto" w:fill="auto"/>
            <w:vAlign w:val="center"/>
          </w:tcPr>
          <w:p w14:paraId="2E32273A" w14:textId="77777777" w:rsidR="007462F0" w:rsidRDefault="007462F0">
            <w:pPr>
              <w:pBdr>
                <w:top w:val="nil"/>
                <w:left w:val="nil"/>
                <w:bottom w:val="nil"/>
                <w:right w:val="nil"/>
                <w:between w:val="nil"/>
              </w:pBdr>
              <w:spacing w:line="276" w:lineRule="auto"/>
              <w:rPr>
                <w:rFonts w:ascii="Gadugi" w:eastAsia="Gadugi" w:hAnsi="Gadugi" w:cs="Gadugi"/>
                <w:color w:val="000000"/>
              </w:rPr>
            </w:pPr>
          </w:p>
        </w:tc>
        <w:tc>
          <w:tcPr>
            <w:tcW w:w="1093" w:type="dxa"/>
            <w:tcBorders>
              <w:top w:val="nil"/>
              <w:left w:val="nil"/>
              <w:bottom w:val="single" w:sz="4" w:space="0" w:color="000000"/>
              <w:right w:val="single" w:sz="4" w:space="0" w:color="000000"/>
            </w:tcBorders>
            <w:shd w:val="clear" w:color="auto" w:fill="auto"/>
            <w:vAlign w:val="center"/>
          </w:tcPr>
          <w:p w14:paraId="551797DD" w14:textId="77777777" w:rsidR="007462F0" w:rsidRDefault="009A2A4C">
            <w:pPr>
              <w:spacing w:before="240"/>
              <w:rPr>
                <w:rFonts w:ascii="Gadugi" w:eastAsia="Gadugi" w:hAnsi="Gadugi" w:cs="Gadugi"/>
                <w:b/>
                <w:color w:val="000000"/>
              </w:rPr>
            </w:pPr>
            <w:r>
              <w:rPr>
                <w:rFonts w:ascii="Gadugi" w:eastAsia="Gadugi" w:hAnsi="Gadugi" w:cs="Gadugi"/>
                <w:b/>
                <w:color w:val="000000"/>
              </w:rPr>
              <w:t>FIRMA</w:t>
            </w:r>
          </w:p>
        </w:tc>
        <w:tc>
          <w:tcPr>
            <w:tcW w:w="2780" w:type="dxa"/>
            <w:gridSpan w:val="2"/>
            <w:tcBorders>
              <w:top w:val="single" w:sz="4" w:space="0" w:color="000000"/>
              <w:left w:val="nil"/>
              <w:bottom w:val="single" w:sz="4" w:space="0" w:color="000000"/>
              <w:right w:val="single" w:sz="4" w:space="0" w:color="000000"/>
            </w:tcBorders>
            <w:shd w:val="clear" w:color="auto" w:fill="auto"/>
            <w:vAlign w:val="center"/>
          </w:tcPr>
          <w:p w14:paraId="0529D12E" w14:textId="77777777" w:rsidR="007462F0" w:rsidRDefault="009A2A4C">
            <w:pPr>
              <w:spacing w:before="240"/>
              <w:jc w:val="center"/>
              <w:rPr>
                <w:rFonts w:ascii="Gadugi" w:eastAsia="Gadugi" w:hAnsi="Gadugi" w:cs="Gadugi"/>
                <w:color w:val="000000"/>
              </w:rPr>
            </w:pPr>
            <w:r>
              <w:rPr>
                <w:noProof/>
              </w:rPr>
              <w:drawing>
                <wp:anchor distT="0" distB="0" distL="114300" distR="114300" simplePos="0" relativeHeight="251658240" behindDoc="0" locked="0" layoutInCell="1" hidden="0" allowOverlap="1" wp14:anchorId="28F7C423" wp14:editId="442C48F5">
                  <wp:simplePos x="0" y="0"/>
                  <wp:positionH relativeFrom="column">
                    <wp:posOffset>360679</wp:posOffset>
                  </wp:positionH>
                  <wp:positionV relativeFrom="paragraph">
                    <wp:posOffset>-3174</wp:posOffset>
                  </wp:positionV>
                  <wp:extent cx="863600" cy="718185"/>
                  <wp:effectExtent l="0" t="0" r="0" b="0"/>
                  <wp:wrapSquare wrapText="bothSides" distT="0" distB="0" distL="114300" distR="114300"/>
                  <wp:docPr id="211019143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5"/>
                          <a:srcRect/>
                          <a:stretch>
                            <a:fillRect/>
                          </a:stretch>
                        </pic:blipFill>
                        <pic:spPr>
                          <a:xfrm>
                            <a:off x="0" y="0"/>
                            <a:ext cx="863600" cy="718185"/>
                          </a:xfrm>
                          <a:prstGeom prst="rect">
                            <a:avLst/>
                          </a:prstGeom>
                          <a:ln/>
                        </pic:spPr>
                      </pic:pic>
                    </a:graphicData>
                  </a:graphic>
                </wp:anchor>
              </w:drawing>
            </w:r>
          </w:p>
        </w:tc>
      </w:tr>
      <w:tr w:rsidR="007462F0" w14:paraId="217D1E10" w14:textId="77777777">
        <w:trPr>
          <w:trHeight w:val="315"/>
          <w:jc w:val="center"/>
        </w:trPr>
        <w:tc>
          <w:tcPr>
            <w:tcW w:w="1276" w:type="dxa"/>
            <w:vMerge w:val="restart"/>
            <w:tcBorders>
              <w:top w:val="nil"/>
              <w:left w:val="single" w:sz="4" w:space="0" w:color="000000"/>
              <w:bottom w:val="single" w:sz="4" w:space="0" w:color="000000"/>
              <w:right w:val="single" w:sz="4" w:space="0" w:color="000000"/>
            </w:tcBorders>
            <w:shd w:val="clear" w:color="auto" w:fill="auto"/>
            <w:vAlign w:val="center"/>
          </w:tcPr>
          <w:p w14:paraId="36432FD8" w14:textId="77777777" w:rsidR="007462F0" w:rsidRDefault="009A2A4C">
            <w:pPr>
              <w:spacing w:before="240"/>
              <w:rPr>
                <w:rFonts w:ascii="Gadugi" w:eastAsia="Gadugi" w:hAnsi="Gadugi" w:cs="Gadugi"/>
                <w:b/>
                <w:color w:val="000000"/>
              </w:rPr>
            </w:pPr>
            <w:r>
              <w:rPr>
                <w:rFonts w:ascii="Gadugi" w:eastAsia="Gadugi" w:hAnsi="Gadugi" w:cs="Gadugi"/>
                <w:b/>
                <w:color w:val="000000"/>
              </w:rPr>
              <w:t>REVISÓ:</w:t>
            </w:r>
          </w:p>
        </w:tc>
        <w:tc>
          <w:tcPr>
            <w:tcW w:w="1093" w:type="dxa"/>
            <w:tcBorders>
              <w:top w:val="nil"/>
              <w:left w:val="nil"/>
              <w:bottom w:val="single" w:sz="4" w:space="0" w:color="000000"/>
              <w:right w:val="single" w:sz="4" w:space="0" w:color="000000"/>
            </w:tcBorders>
            <w:shd w:val="clear" w:color="auto" w:fill="auto"/>
            <w:vAlign w:val="center"/>
          </w:tcPr>
          <w:p w14:paraId="4A8F35F4" w14:textId="77777777" w:rsidR="007462F0" w:rsidRDefault="009A2A4C">
            <w:pPr>
              <w:spacing w:before="240"/>
              <w:rPr>
                <w:rFonts w:ascii="Gadugi" w:eastAsia="Gadugi" w:hAnsi="Gadugi" w:cs="Gadugi"/>
                <w:b/>
                <w:color w:val="000000"/>
              </w:rPr>
            </w:pPr>
            <w:r>
              <w:rPr>
                <w:rFonts w:ascii="Gadugi" w:eastAsia="Gadugi" w:hAnsi="Gadugi" w:cs="Gadugi"/>
                <w:b/>
                <w:color w:val="000000"/>
              </w:rPr>
              <w:t>NOMBRE</w:t>
            </w:r>
          </w:p>
        </w:tc>
        <w:tc>
          <w:tcPr>
            <w:tcW w:w="2780" w:type="dxa"/>
            <w:gridSpan w:val="2"/>
            <w:tcBorders>
              <w:top w:val="single" w:sz="4" w:space="0" w:color="000000"/>
              <w:left w:val="nil"/>
              <w:bottom w:val="single" w:sz="4" w:space="0" w:color="000000"/>
              <w:right w:val="single" w:sz="4" w:space="0" w:color="000000"/>
            </w:tcBorders>
            <w:shd w:val="clear" w:color="auto" w:fill="auto"/>
            <w:vAlign w:val="center"/>
          </w:tcPr>
          <w:p w14:paraId="7315AC3A" w14:textId="77777777" w:rsidR="007462F0" w:rsidRDefault="009A2A4C">
            <w:pPr>
              <w:spacing w:before="240"/>
              <w:jc w:val="center"/>
              <w:rPr>
                <w:rFonts w:ascii="Gadugi" w:eastAsia="Gadugi" w:hAnsi="Gadugi" w:cs="Gadugi"/>
                <w:color w:val="000000"/>
              </w:rPr>
            </w:pPr>
            <w:proofErr w:type="spellStart"/>
            <w:r>
              <w:rPr>
                <w:rFonts w:ascii="Gadugi" w:eastAsia="Gadugi" w:hAnsi="Gadugi" w:cs="Gadugi"/>
                <w:color w:val="000000"/>
              </w:rPr>
              <w:t>Ángel</w:t>
            </w:r>
            <w:proofErr w:type="spellEnd"/>
            <w:r>
              <w:rPr>
                <w:rFonts w:ascii="Gadugi" w:eastAsia="Gadugi" w:hAnsi="Gadugi" w:cs="Gadugi"/>
                <w:color w:val="000000"/>
              </w:rPr>
              <w:t xml:space="preserve"> </w:t>
            </w:r>
            <w:proofErr w:type="spellStart"/>
            <w:r>
              <w:rPr>
                <w:rFonts w:ascii="Gadugi" w:eastAsia="Gadugi" w:hAnsi="Gadugi" w:cs="Gadugi"/>
                <w:color w:val="000000"/>
              </w:rPr>
              <w:t>Aristizábal</w:t>
            </w:r>
            <w:proofErr w:type="spellEnd"/>
            <w:r>
              <w:rPr>
                <w:rFonts w:ascii="Gadugi" w:eastAsia="Gadugi" w:hAnsi="Gadugi" w:cs="Gadugi"/>
                <w:color w:val="000000"/>
              </w:rPr>
              <w:t xml:space="preserve"> </w:t>
            </w:r>
          </w:p>
        </w:tc>
      </w:tr>
      <w:tr w:rsidR="007462F0" w14:paraId="59BEF4CD" w14:textId="77777777">
        <w:trPr>
          <w:trHeight w:val="315"/>
          <w:jc w:val="center"/>
        </w:trPr>
        <w:tc>
          <w:tcPr>
            <w:tcW w:w="1276" w:type="dxa"/>
            <w:vMerge/>
            <w:tcBorders>
              <w:top w:val="nil"/>
              <w:left w:val="single" w:sz="4" w:space="0" w:color="000000"/>
              <w:bottom w:val="single" w:sz="4" w:space="0" w:color="000000"/>
              <w:right w:val="single" w:sz="4" w:space="0" w:color="000000"/>
            </w:tcBorders>
            <w:shd w:val="clear" w:color="auto" w:fill="auto"/>
            <w:vAlign w:val="center"/>
          </w:tcPr>
          <w:p w14:paraId="57F7225B" w14:textId="77777777" w:rsidR="007462F0" w:rsidRDefault="007462F0">
            <w:pPr>
              <w:pBdr>
                <w:top w:val="nil"/>
                <w:left w:val="nil"/>
                <w:bottom w:val="nil"/>
                <w:right w:val="nil"/>
                <w:between w:val="nil"/>
              </w:pBdr>
              <w:spacing w:line="276" w:lineRule="auto"/>
              <w:rPr>
                <w:rFonts w:ascii="Gadugi" w:eastAsia="Gadugi" w:hAnsi="Gadugi" w:cs="Gadugi"/>
                <w:color w:val="000000"/>
              </w:rPr>
            </w:pPr>
          </w:p>
        </w:tc>
        <w:tc>
          <w:tcPr>
            <w:tcW w:w="1093" w:type="dxa"/>
            <w:tcBorders>
              <w:top w:val="nil"/>
              <w:left w:val="nil"/>
              <w:bottom w:val="single" w:sz="4" w:space="0" w:color="000000"/>
              <w:right w:val="single" w:sz="4" w:space="0" w:color="000000"/>
            </w:tcBorders>
            <w:shd w:val="clear" w:color="auto" w:fill="auto"/>
            <w:vAlign w:val="center"/>
          </w:tcPr>
          <w:p w14:paraId="3EEDCF08" w14:textId="77777777" w:rsidR="007462F0" w:rsidRDefault="009A2A4C">
            <w:pPr>
              <w:spacing w:before="240"/>
              <w:rPr>
                <w:rFonts w:ascii="Gadugi" w:eastAsia="Gadugi" w:hAnsi="Gadugi" w:cs="Gadugi"/>
                <w:b/>
                <w:color w:val="000000"/>
              </w:rPr>
            </w:pPr>
            <w:r>
              <w:rPr>
                <w:rFonts w:ascii="Gadugi" w:eastAsia="Gadugi" w:hAnsi="Gadugi" w:cs="Gadugi"/>
                <w:b/>
                <w:color w:val="000000"/>
              </w:rPr>
              <w:t>FIRMA</w:t>
            </w:r>
          </w:p>
        </w:tc>
        <w:tc>
          <w:tcPr>
            <w:tcW w:w="2780" w:type="dxa"/>
            <w:gridSpan w:val="2"/>
            <w:tcBorders>
              <w:top w:val="single" w:sz="4" w:space="0" w:color="000000"/>
              <w:left w:val="nil"/>
              <w:bottom w:val="single" w:sz="4" w:space="0" w:color="000000"/>
              <w:right w:val="single" w:sz="4" w:space="0" w:color="000000"/>
            </w:tcBorders>
            <w:shd w:val="clear" w:color="auto" w:fill="auto"/>
            <w:vAlign w:val="center"/>
          </w:tcPr>
          <w:p w14:paraId="442C34CE" w14:textId="77777777" w:rsidR="007462F0" w:rsidRDefault="009A2A4C">
            <w:pPr>
              <w:widowControl/>
              <w:pBdr>
                <w:top w:val="nil"/>
                <w:left w:val="nil"/>
                <w:bottom w:val="nil"/>
                <w:right w:val="nil"/>
                <w:between w:val="nil"/>
              </w:pBdr>
              <w:spacing w:after="160"/>
              <w:rPr>
                <w:rFonts w:ascii="Gadugi" w:eastAsia="Gadugi" w:hAnsi="Gadugi" w:cs="Gadugi"/>
                <w:color w:val="000000"/>
                <w:sz w:val="24"/>
                <w:szCs w:val="24"/>
              </w:rPr>
            </w:pPr>
            <w:r>
              <w:rPr>
                <w:noProof/>
              </w:rPr>
              <w:drawing>
                <wp:anchor distT="0" distB="0" distL="114300" distR="114300" simplePos="0" relativeHeight="251659264" behindDoc="0" locked="0" layoutInCell="1" hidden="0" allowOverlap="1" wp14:anchorId="71F7BB76" wp14:editId="47DFA39D">
                  <wp:simplePos x="0" y="0"/>
                  <wp:positionH relativeFrom="column">
                    <wp:posOffset>65407</wp:posOffset>
                  </wp:positionH>
                  <wp:positionV relativeFrom="paragraph">
                    <wp:posOffset>168910</wp:posOffset>
                  </wp:positionV>
                  <wp:extent cx="1504950" cy="406400"/>
                  <wp:effectExtent l="0" t="0" r="0" b="0"/>
                  <wp:wrapNone/>
                  <wp:docPr id="21101914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6"/>
                          <a:srcRect/>
                          <a:stretch>
                            <a:fillRect/>
                          </a:stretch>
                        </pic:blipFill>
                        <pic:spPr>
                          <a:xfrm>
                            <a:off x="0" y="0"/>
                            <a:ext cx="1504950" cy="406400"/>
                          </a:xfrm>
                          <a:prstGeom prst="rect">
                            <a:avLst/>
                          </a:prstGeom>
                          <a:ln/>
                        </pic:spPr>
                      </pic:pic>
                    </a:graphicData>
                  </a:graphic>
                </wp:anchor>
              </w:drawing>
            </w:r>
          </w:p>
          <w:p w14:paraId="6DFB38CD" w14:textId="77777777" w:rsidR="007462F0" w:rsidRDefault="007462F0">
            <w:pPr>
              <w:widowControl/>
              <w:pBdr>
                <w:top w:val="nil"/>
                <w:left w:val="nil"/>
                <w:bottom w:val="nil"/>
                <w:right w:val="nil"/>
                <w:between w:val="nil"/>
              </w:pBdr>
              <w:spacing w:after="160"/>
              <w:rPr>
                <w:rFonts w:ascii="Gadugi" w:eastAsia="Gadugi" w:hAnsi="Gadugi" w:cs="Gadugi"/>
                <w:color w:val="000000"/>
                <w:sz w:val="24"/>
                <w:szCs w:val="24"/>
              </w:rPr>
            </w:pPr>
          </w:p>
        </w:tc>
      </w:tr>
      <w:tr w:rsidR="007462F0" w14:paraId="4AB9E1F2" w14:textId="77777777">
        <w:trPr>
          <w:trHeight w:val="315"/>
          <w:jc w:val="center"/>
        </w:trPr>
        <w:tc>
          <w:tcPr>
            <w:tcW w:w="1276" w:type="dxa"/>
            <w:vMerge w:val="restart"/>
            <w:tcBorders>
              <w:top w:val="nil"/>
              <w:left w:val="single" w:sz="4" w:space="0" w:color="000000"/>
              <w:bottom w:val="single" w:sz="4" w:space="0" w:color="000000"/>
              <w:right w:val="single" w:sz="4" w:space="0" w:color="000000"/>
            </w:tcBorders>
            <w:shd w:val="clear" w:color="auto" w:fill="auto"/>
            <w:vAlign w:val="center"/>
          </w:tcPr>
          <w:p w14:paraId="0DC23EB5" w14:textId="77777777" w:rsidR="007462F0" w:rsidRDefault="009A2A4C">
            <w:pPr>
              <w:spacing w:before="240"/>
              <w:rPr>
                <w:rFonts w:ascii="Gadugi" w:eastAsia="Gadugi" w:hAnsi="Gadugi" w:cs="Gadugi"/>
                <w:b/>
                <w:color w:val="000000"/>
              </w:rPr>
            </w:pPr>
            <w:r>
              <w:rPr>
                <w:rFonts w:ascii="Gadugi" w:eastAsia="Gadugi" w:hAnsi="Gadugi" w:cs="Gadugi"/>
                <w:b/>
                <w:color w:val="000000"/>
              </w:rPr>
              <w:t>APROBÓ:</w:t>
            </w:r>
          </w:p>
        </w:tc>
        <w:tc>
          <w:tcPr>
            <w:tcW w:w="1093" w:type="dxa"/>
            <w:tcBorders>
              <w:top w:val="nil"/>
              <w:left w:val="nil"/>
              <w:bottom w:val="single" w:sz="4" w:space="0" w:color="000000"/>
              <w:right w:val="single" w:sz="4" w:space="0" w:color="000000"/>
            </w:tcBorders>
            <w:shd w:val="clear" w:color="auto" w:fill="auto"/>
            <w:vAlign w:val="center"/>
          </w:tcPr>
          <w:p w14:paraId="6FEC5E3F" w14:textId="77777777" w:rsidR="007462F0" w:rsidRDefault="009A2A4C">
            <w:pPr>
              <w:spacing w:before="240"/>
              <w:rPr>
                <w:rFonts w:ascii="Gadugi" w:eastAsia="Gadugi" w:hAnsi="Gadugi" w:cs="Gadugi"/>
                <w:b/>
                <w:color w:val="000000"/>
              </w:rPr>
            </w:pPr>
            <w:r>
              <w:rPr>
                <w:rFonts w:ascii="Gadugi" w:eastAsia="Gadugi" w:hAnsi="Gadugi" w:cs="Gadugi"/>
                <w:b/>
                <w:color w:val="000000"/>
              </w:rPr>
              <w:t>NOMBRE</w:t>
            </w:r>
          </w:p>
        </w:tc>
        <w:tc>
          <w:tcPr>
            <w:tcW w:w="2780" w:type="dxa"/>
            <w:gridSpan w:val="2"/>
            <w:tcBorders>
              <w:top w:val="single" w:sz="4" w:space="0" w:color="000000"/>
              <w:left w:val="nil"/>
              <w:bottom w:val="single" w:sz="4" w:space="0" w:color="000000"/>
              <w:right w:val="single" w:sz="4" w:space="0" w:color="000000"/>
            </w:tcBorders>
            <w:shd w:val="clear" w:color="auto" w:fill="auto"/>
            <w:vAlign w:val="center"/>
          </w:tcPr>
          <w:p w14:paraId="59E89570" w14:textId="77777777" w:rsidR="007462F0" w:rsidRDefault="009A2A4C">
            <w:pPr>
              <w:spacing w:before="240"/>
              <w:jc w:val="center"/>
              <w:rPr>
                <w:rFonts w:ascii="Gadugi" w:eastAsia="Gadugi" w:hAnsi="Gadugi" w:cs="Gadugi"/>
                <w:color w:val="000000"/>
              </w:rPr>
            </w:pPr>
            <w:r>
              <w:rPr>
                <w:rFonts w:ascii="Gadugi" w:eastAsia="Gadugi" w:hAnsi="Gadugi" w:cs="Gadugi"/>
                <w:color w:val="000000"/>
              </w:rPr>
              <w:t>Alexander Bedoya Duque</w:t>
            </w:r>
          </w:p>
        </w:tc>
      </w:tr>
      <w:tr w:rsidR="007462F0" w14:paraId="3F1DD0BA" w14:textId="77777777">
        <w:trPr>
          <w:trHeight w:val="315"/>
          <w:jc w:val="center"/>
        </w:trPr>
        <w:tc>
          <w:tcPr>
            <w:tcW w:w="1276" w:type="dxa"/>
            <w:vMerge/>
            <w:tcBorders>
              <w:top w:val="nil"/>
              <w:left w:val="single" w:sz="4" w:space="0" w:color="000000"/>
              <w:bottom w:val="single" w:sz="4" w:space="0" w:color="000000"/>
              <w:right w:val="single" w:sz="4" w:space="0" w:color="000000"/>
            </w:tcBorders>
            <w:shd w:val="clear" w:color="auto" w:fill="auto"/>
            <w:vAlign w:val="center"/>
          </w:tcPr>
          <w:p w14:paraId="581DEF35" w14:textId="77777777" w:rsidR="007462F0" w:rsidRDefault="007462F0">
            <w:pPr>
              <w:pBdr>
                <w:top w:val="nil"/>
                <w:left w:val="nil"/>
                <w:bottom w:val="nil"/>
                <w:right w:val="nil"/>
                <w:between w:val="nil"/>
              </w:pBdr>
              <w:spacing w:line="276" w:lineRule="auto"/>
              <w:rPr>
                <w:rFonts w:ascii="Gadugi" w:eastAsia="Gadugi" w:hAnsi="Gadugi" w:cs="Gadugi"/>
                <w:color w:val="000000"/>
              </w:rPr>
            </w:pPr>
          </w:p>
        </w:tc>
        <w:tc>
          <w:tcPr>
            <w:tcW w:w="1093" w:type="dxa"/>
            <w:tcBorders>
              <w:top w:val="nil"/>
              <w:left w:val="nil"/>
              <w:bottom w:val="single" w:sz="4" w:space="0" w:color="000000"/>
              <w:right w:val="single" w:sz="4" w:space="0" w:color="000000"/>
            </w:tcBorders>
            <w:shd w:val="clear" w:color="auto" w:fill="auto"/>
            <w:vAlign w:val="center"/>
          </w:tcPr>
          <w:p w14:paraId="0F6EAC7C" w14:textId="77777777" w:rsidR="007462F0" w:rsidRDefault="009A2A4C">
            <w:pPr>
              <w:spacing w:before="240"/>
              <w:rPr>
                <w:rFonts w:ascii="Gadugi" w:eastAsia="Gadugi" w:hAnsi="Gadugi" w:cs="Gadugi"/>
                <w:b/>
                <w:color w:val="000000"/>
              </w:rPr>
            </w:pPr>
            <w:r>
              <w:rPr>
                <w:rFonts w:ascii="Gadugi" w:eastAsia="Gadugi" w:hAnsi="Gadugi" w:cs="Gadugi"/>
                <w:b/>
                <w:color w:val="000000"/>
              </w:rPr>
              <w:t>FIRMA</w:t>
            </w:r>
          </w:p>
        </w:tc>
        <w:tc>
          <w:tcPr>
            <w:tcW w:w="2780" w:type="dxa"/>
            <w:gridSpan w:val="2"/>
            <w:tcBorders>
              <w:top w:val="single" w:sz="4" w:space="0" w:color="000000"/>
              <w:left w:val="nil"/>
              <w:bottom w:val="single" w:sz="4" w:space="0" w:color="000000"/>
              <w:right w:val="single" w:sz="4" w:space="0" w:color="000000"/>
            </w:tcBorders>
            <w:shd w:val="clear" w:color="auto" w:fill="auto"/>
            <w:vAlign w:val="center"/>
          </w:tcPr>
          <w:p w14:paraId="23DBB790" w14:textId="77777777" w:rsidR="007462F0" w:rsidRDefault="009A2A4C">
            <w:pPr>
              <w:spacing w:before="240"/>
              <w:rPr>
                <w:rFonts w:ascii="Gadugi" w:eastAsia="Gadugi" w:hAnsi="Gadugi" w:cs="Gadugi"/>
                <w:color w:val="000000"/>
              </w:rPr>
            </w:pPr>
            <w:r>
              <w:rPr>
                <w:noProof/>
                <w:sz w:val="24"/>
                <w:szCs w:val="24"/>
              </w:rPr>
              <w:drawing>
                <wp:inline distT="0" distB="0" distL="0" distR="0" wp14:anchorId="6994A0B7" wp14:editId="05E66ECA">
                  <wp:extent cx="1720479" cy="278718"/>
                  <wp:effectExtent l="0" t="0" r="0" b="0"/>
                  <wp:docPr id="211019144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7"/>
                          <a:srcRect/>
                          <a:stretch>
                            <a:fillRect/>
                          </a:stretch>
                        </pic:blipFill>
                        <pic:spPr>
                          <a:xfrm>
                            <a:off x="0" y="0"/>
                            <a:ext cx="1720479" cy="278718"/>
                          </a:xfrm>
                          <a:prstGeom prst="rect">
                            <a:avLst/>
                          </a:prstGeom>
                          <a:ln/>
                        </pic:spPr>
                      </pic:pic>
                    </a:graphicData>
                  </a:graphic>
                </wp:inline>
              </w:drawing>
            </w:r>
          </w:p>
        </w:tc>
      </w:tr>
    </w:tbl>
    <w:p w14:paraId="75DD38FF" w14:textId="77777777" w:rsidR="007462F0" w:rsidRDefault="007462F0">
      <w:pPr>
        <w:tabs>
          <w:tab w:val="left" w:pos="8505"/>
        </w:tabs>
        <w:rPr>
          <w:rFonts w:ascii="Gadugi" w:eastAsia="Gadugi" w:hAnsi="Gadugi" w:cs="Gadugi"/>
          <w:color w:val="000000"/>
          <w:sz w:val="18"/>
          <w:szCs w:val="18"/>
        </w:rPr>
      </w:pPr>
    </w:p>
    <w:p w14:paraId="42E08F24" w14:textId="77777777" w:rsidR="007462F0" w:rsidRDefault="007462F0">
      <w:pPr>
        <w:tabs>
          <w:tab w:val="left" w:pos="8505"/>
        </w:tabs>
        <w:rPr>
          <w:rFonts w:ascii="Gadugi" w:eastAsia="Gadugi" w:hAnsi="Gadugi" w:cs="Gadugi"/>
          <w:color w:val="000000"/>
          <w:sz w:val="18"/>
          <w:szCs w:val="18"/>
        </w:rPr>
      </w:pPr>
    </w:p>
    <w:p w14:paraId="3BE01F56" w14:textId="77777777" w:rsidR="007462F0" w:rsidRDefault="009A2A4C">
      <w:pPr>
        <w:rPr>
          <w:rFonts w:ascii="Gadugi" w:eastAsia="Gadugi" w:hAnsi="Gadugi" w:cs="Gadugi"/>
          <w:color w:val="000000"/>
          <w:sz w:val="18"/>
          <w:szCs w:val="18"/>
        </w:rPr>
      </w:pPr>
      <w:r>
        <w:br w:type="page"/>
      </w:r>
    </w:p>
    <w:p w14:paraId="201EF61E" w14:textId="52CD1F4D" w:rsidR="007462F0" w:rsidRDefault="009A2A4C">
      <w:pPr>
        <w:pStyle w:val="Ttulo1"/>
        <w:numPr>
          <w:ilvl w:val="0"/>
          <w:numId w:val="12"/>
        </w:numPr>
        <w:spacing w:after="240" w:line="259" w:lineRule="auto"/>
        <w:ind w:left="357" w:hanging="357"/>
        <w:rPr>
          <w:rFonts w:ascii="Gadugi" w:eastAsia="Gadugi" w:hAnsi="Gadugi" w:cs="Gadugi"/>
          <w:b/>
          <w:color w:val="4472C4"/>
          <w:sz w:val="22"/>
          <w:szCs w:val="22"/>
          <w:u w:val="none"/>
        </w:rPr>
      </w:pPr>
      <w:bookmarkStart w:id="1" w:name="_Toc188539066"/>
      <w:r>
        <w:rPr>
          <w:rFonts w:ascii="Gadugi" w:eastAsia="Gadugi" w:hAnsi="Gadugi" w:cs="Gadugi"/>
          <w:b/>
          <w:color w:val="4472C4"/>
          <w:sz w:val="22"/>
          <w:szCs w:val="22"/>
          <w:u w:val="none"/>
        </w:rPr>
        <w:lastRenderedPageBreak/>
        <w:t>CENTRAL DE GENERACIÓN DISTRIBUIDA</w:t>
      </w:r>
      <w:bookmarkEnd w:id="1"/>
    </w:p>
    <w:p w14:paraId="5ED4A880" w14:textId="77777777" w:rsidR="007462F0" w:rsidRDefault="009A2A4C">
      <w:pPr>
        <w:jc w:val="both"/>
        <w:rPr>
          <w:rFonts w:ascii="Gadugi" w:eastAsia="Gadugi" w:hAnsi="Gadugi" w:cs="Gadugi"/>
          <w:color w:val="000000"/>
        </w:rPr>
      </w:pPr>
      <w:r>
        <w:rPr>
          <w:rFonts w:ascii="Gadugi" w:eastAsia="Gadugi" w:hAnsi="Gadugi" w:cs="Gadugi"/>
          <w:color w:val="000000"/>
        </w:rPr>
        <w:t xml:space="preserve">Una Central de Generación Distribuida es aquel sistema de producción continua de energía eléctrica en el mismo lugar o muy cerca de donde se consume. Por lo que para este tipo de central no aplica la etapa de transmisión del proceso técnico de suministro intensivo de la electricidad, </w:t>
      </w:r>
      <w:r>
        <w:rPr>
          <w:rFonts w:ascii="Gadugi" w:eastAsia="Gadugi" w:hAnsi="Gadugi" w:cs="Gadugi"/>
        </w:rPr>
        <w:t>sólo</w:t>
      </w:r>
      <w:r>
        <w:rPr>
          <w:rFonts w:ascii="Gadugi" w:eastAsia="Gadugi" w:hAnsi="Gadugi" w:cs="Gadugi"/>
          <w:color w:val="000000"/>
        </w:rPr>
        <w:t xml:space="preserve"> las etapas de </w:t>
      </w:r>
      <w:r>
        <w:rPr>
          <w:rFonts w:ascii="Gadugi" w:eastAsia="Gadugi" w:hAnsi="Gadugi" w:cs="Gadugi"/>
        </w:rPr>
        <w:t>generación</w:t>
      </w:r>
      <w:r>
        <w:rPr>
          <w:rFonts w:ascii="Gadugi" w:eastAsia="Gadugi" w:hAnsi="Gadugi" w:cs="Gadugi"/>
          <w:color w:val="000000"/>
        </w:rPr>
        <w:t xml:space="preserve"> y </w:t>
      </w:r>
      <w:r>
        <w:rPr>
          <w:rFonts w:ascii="Gadugi" w:eastAsia="Gadugi" w:hAnsi="Gadugi" w:cs="Gadugi"/>
        </w:rPr>
        <w:t>distribución</w:t>
      </w:r>
      <w:r>
        <w:rPr>
          <w:rFonts w:ascii="Gadugi" w:eastAsia="Gadugi" w:hAnsi="Gadugi" w:cs="Gadugi"/>
          <w:color w:val="000000"/>
        </w:rPr>
        <w:t>.</w:t>
      </w:r>
    </w:p>
    <w:p w14:paraId="1F511AE8" w14:textId="77777777" w:rsidR="007462F0" w:rsidRDefault="009A2A4C">
      <w:pPr>
        <w:jc w:val="both"/>
        <w:rPr>
          <w:rFonts w:ascii="Gadugi" w:eastAsia="Gadugi" w:hAnsi="Gadugi" w:cs="Gadugi"/>
          <w:color w:val="000000"/>
        </w:rPr>
      </w:pPr>
      <w:r>
        <w:rPr>
          <w:rFonts w:ascii="Gadugi" w:eastAsia="Gadugi" w:hAnsi="Gadugi" w:cs="Gadugi"/>
          <w:color w:val="000000"/>
        </w:rPr>
        <w:t>Es importante aclarar que en todo caso y al menos que el sistema de generación de energía eléctrica sea extremadamente pequeño y de operación temporal, todo conjunto de uno o más grupos electrógenos (</w:t>
      </w:r>
      <w:proofErr w:type="spellStart"/>
      <w:r>
        <w:rPr>
          <w:rFonts w:ascii="Gadugi" w:eastAsia="Gadugi" w:hAnsi="Gadugi" w:cs="Gadugi"/>
          <w:color w:val="000000"/>
        </w:rPr>
        <w:t>motogenerador</w:t>
      </w:r>
      <w:proofErr w:type="spellEnd"/>
      <w:r>
        <w:rPr>
          <w:rFonts w:ascii="Gadugi" w:eastAsia="Gadugi" w:hAnsi="Gadugi" w:cs="Gadugi"/>
          <w:color w:val="000000"/>
        </w:rPr>
        <w:t xml:space="preserve"> o turbogenerador) con todos sus sistemas operativos asociados (tableros eléctricos, combustible, puesta a tierra, enfriamiento, gestión) debe ser considerado una central eléctrica y si el mismo debe cumplir requisitos de operación temporal o continuo con la red utilitaria necesariamente debe ser denominada y operada como un Central de Generación Distribuida, por lo que sus aplicaciones más frecuentes serán las mismas de toda central eléctrica compleja, como de respaldo de emergencia o de respaldo operativo, de suministro de recortes de picos de demanda eléctrica, de reserva o de generación continua</w:t>
      </w:r>
    </w:p>
    <w:p w14:paraId="0581F90C" w14:textId="77777777" w:rsidR="007462F0" w:rsidRDefault="007462F0">
      <w:pPr>
        <w:jc w:val="both"/>
        <w:rPr>
          <w:rFonts w:ascii="Gadugi" w:eastAsia="Gadugi" w:hAnsi="Gadugi" w:cs="Gadugi"/>
          <w:color w:val="000000"/>
        </w:rPr>
      </w:pPr>
    </w:p>
    <w:p w14:paraId="663BEEC4" w14:textId="2236BEDE" w:rsidR="007462F0" w:rsidRDefault="009A2A4C">
      <w:pPr>
        <w:pStyle w:val="Ttulo2"/>
        <w:spacing w:after="120"/>
        <w:ind w:left="720" w:hanging="720"/>
        <w:rPr>
          <w:rFonts w:ascii="Gadugi" w:eastAsia="Gadugi" w:hAnsi="Gadugi" w:cs="Gadugi"/>
          <w:color w:val="4472C4"/>
          <w:sz w:val="22"/>
          <w:szCs w:val="22"/>
        </w:rPr>
      </w:pPr>
      <w:bookmarkStart w:id="2" w:name="_Toc188539067"/>
      <w:r>
        <w:rPr>
          <w:rFonts w:ascii="Gadugi" w:eastAsia="Gadugi" w:hAnsi="Gadugi" w:cs="Gadugi"/>
          <w:color w:val="4472C4"/>
          <w:sz w:val="22"/>
          <w:szCs w:val="22"/>
        </w:rPr>
        <w:t>1.1.</w:t>
      </w:r>
      <w:r>
        <w:rPr>
          <w:rFonts w:ascii="Gadugi" w:eastAsia="Gadugi" w:hAnsi="Gadugi" w:cs="Gadugi"/>
          <w:color w:val="4472C4"/>
          <w:sz w:val="22"/>
          <w:szCs w:val="22"/>
        </w:rPr>
        <w:tab/>
        <w:t>CRITERIOS PARA SU IMPLANTACION, DISEÑO E INSTALACION</w:t>
      </w:r>
      <w:bookmarkEnd w:id="2"/>
    </w:p>
    <w:p w14:paraId="2443B1E4" w14:textId="77777777" w:rsidR="007462F0" w:rsidRDefault="009A2A4C">
      <w:pPr>
        <w:jc w:val="both"/>
        <w:rPr>
          <w:rFonts w:ascii="Gadugi" w:eastAsia="Gadugi" w:hAnsi="Gadugi" w:cs="Gadugi"/>
          <w:color w:val="000000"/>
        </w:rPr>
      </w:pPr>
      <w:r>
        <w:rPr>
          <w:rFonts w:ascii="Gadugi" w:eastAsia="Gadugi" w:hAnsi="Gadugi" w:cs="Gadugi"/>
          <w:color w:val="000000"/>
        </w:rPr>
        <w:t>Para el establecimiento de grupos electrógenos y/o centrales eléctricas como sistemas de generación alternos a la red utilitaria, los criterios pueden ser económicos y/o técnicos.</w:t>
      </w:r>
    </w:p>
    <w:p w14:paraId="540C45C1" w14:textId="77777777" w:rsidR="007462F0" w:rsidRDefault="009A2A4C">
      <w:pPr>
        <w:jc w:val="both"/>
        <w:rPr>
          <w:rFonts w:ascii="Gadugi" w:eastAsia="Gadugi" w:hAnsi="Gadugi" w:cs="Gadugi"/>
          <w:color w:val="000000"/>
        </w:rPr>
      </w:pPr>
      <w:r>
        <w:rPr>
          <w:rFonts w:ascii="Gadugi" w:eastAsia="Gadugi" w:hAnsi="Gadugi" w:cs="Gadugi"/>
          <w:color w:val="000000"/>
        </w:rPr>
        <w:t>Algunos de estos criterios son:</w:t>
      </w:r>
    </w:p>
    <w:p w14:paraId="75DCD35A" w14:textId="77777777" w:rsidR="007462F0" w:rsidRPr="008621BF" w:rsidRDefault="009A2A4C">
      <w:pPr>
        <w:widowControl w:val="0"/>
        <w:numPr>
          <w:ilvl w:val="0"/>
          <w:numId w:val="13"/>
        </w:numPr>
        <w:pBdr>
          <w:top w:val="nil"/>
          <w:left w:val="nil"/>
          <w:bottom w:val="nil"/>
          <w:right w:val="nil"/>
          <w:between w:val="nil"/>
        </w:pBdr>
        <w:spacing w:before="139" w:after="0"/>
        <w:ind w:left="714" w:hanging="357"/>
        <w:jc w:val="both"/>
        <w:rPr>
          <w:rFonts w:ascii="Gadugi" w:eastAsia="Gadugi" w:hAnsi="Gadugi" w:cs="Gadugi"/>
          <w:color w:val="000000"/>
        </w:rPr>
      </w:pPr>
      <w:r w:rsidRPr="008621BF">
        <w:rPr>
          <w:rFonts w:ascii="Gadugi" w:eastAsia="Gadugi" w:hAnsi="Gadugi" w:cs="Gadugi"/>
          <w:color w:val="000000"/>
        </w:rPr>
        <w:t xml:space="preserve">En todo ambiente donde se requiera del suministro continuo y confiable de la electricidad, se debe cuantificar el costo de las fallas de suministro y su incidencia sobre el desenvolvimiento normal de las actividades. </w:t>
      </w:r>
    </w:p>
    <w:p w14:paraId="33A52685" w14:textId="77777777" w:rsidR="007462F0" w:rsidRPr="008621BF" w:rsidRDefault="009A2A4C">
      <w:pPr>
        <w:widowControl w:val="0"/>
        <w:numPr>
          <w:ilvl w:val="0"/>
          <w:numId w:val="13"/>
        </w:numPr>
        <w:pBdr>
          <w:top w:val="nil"/>
          <w:left w:val="nil"/>
          <w:bottom w:val="nil"/>
          <w:right w:val="nil"/>
          <w:between w:val="nil"/>
        </w:pBdr>
        <w:spacing w:before="139" w:after="0"/>
        <w:ind w:left="714" w:hanging="357"/>
        <w:jc w:val="both"/>
        <w:rPr>
          <w:rFonts w:ascii="Gadugi" w:eastAsia="Gadugi" w:hAnsi="Gadugi" w:cs="Gadugi"/>
          <w:color w:val="000000"/>
        </w:rPr>
      </w:pPr>
      <w:r w:rsidRPr="008621BF">
        <w:rPr>
          <w:rFonts w:ascii="Gadugi" w:eastAsia="Gadugi" w:hAnsi="Gadugi" w:cs="Gadugi"/>
          <w:color w:val="000000"/>
        </w:rPr>
        <w:t>Los costos se pueden calcular sobre la base porcentual de las incidencias de la contingencia en la seguridad, operaciones, ventas comerciales o sobre la suspensión de los flujos de capitales detenidos por la falta del fluido eléctrico.</w:t>
      </w:r>
    </w:p>
    <w:p w14:paraId="61C39BD9" w14:textId="77777777" w:rsidR="007462F0" w:rsidRPr="008621BF" w:rsidRDefault="009A2A4C">
      <w:pPr>
        <w:widowControl w:val="0"/>
        <w:numPr>
          <w:ilvl w:val="0"/>
          <w:numId w:val="13"/>
        </w:numPr>
        <w:pBdr>
          <w:top w:val="nil"/>
          <w:left w:val="nil"/>
          <w:bottom w:val="nil"/>
          <w:right w:val="nil"/>
          <w:between w:val="nil"/>
        </w:pBdr>
        <w:spacing w:before="139" w:after="0"/>
        <w:ind w:left="714" w:hanging="357"/>
        <w:jc w:val="both"/>
        <w:rPr>
          <w:rFonts w:ascii="Gadugi" w:eastAsia="Gadugi" w:hAnsi="Gadugi" w:cs="Gadugi"/>
          <w:color w:val="000000"/>
        </w:rPr>
      </w:pPr>
      <w:r w:rsidRPr="008621BF">
        <w:rPr>
          <w:rFonts w:ascii="Gadugi" w:eastAsia="Gadugi" w:hAnsi="Gadugi" w:cs="Gadugi"/>
          <w:color w:val="000000"/>
        </w:rPr>
        <w:t xml:space="preserve">En los casos donde el costo de la energía eléctrica segura y confiable, producida por un sistema de suministro alterno de generación, sea inferior al costo de la electricidad de la red Grupos utilitaria, aunque ésta sea altamente confiable, la factibilidad económica y financiera del establecimiento de grupos electrógenos y/o centrales eléctricas para generación distribuida o generación independiente siempre será </w:t>
      </w:r>
      <w:r w:rsidRPr="008621BF">
        <w:rPr>
          <w:rFonts w:ascii="Gadugi" w:eastAsia="Gadugi" w:hAnsi="Gadugi" w:cs="Gadugi"/>
          <w:color w:val="000000"/>
        </w:rPr>
        <w:lastRenderedPageBreak/>
        <w:t>positiva. Obviamente dentro de los costos de esta energía eléctrica se deberán contemplar los mantenimientos preventivos y predictivos adecuados y oportunos, así como las partidas para el reemplazo de los sistemas de generación al finalizar su vida útil.</w:t>
      </w:r>
    </w:p>
    <w:p w14:paraId="0B0069F9" w14:textId="77777777" w:rsidR="007462F0" w:rsidRDefault="007462F0">
      <w:pPr>
        <w:jc w:val="both"/>
        <w:rPr>
          <w:rFonts w:ascii="Gadugi" w:eastAsia="Gadugi" w:hAnsi="Gadugi" w:cs="Gadugi"/>
          <w:color w:val="000000"/>
        </w:rPr>
      </w:pPr>
    </w:p>
    <w:p w14:paraId="29EE39CB" w14:textId="294501B9" w:rsidR="007462F0" w:rsidRDefault="009A2A4C">
      <w:pPr>
        <w:pStyle w:val="Ttulo2"/>
        <w:spacing w:after="120"/>
        <w:ind w:left="720" w:hanging="720"/>
        <w:rPr>
          <w:rFonts w:ascii="Gadugi" w:eastAsia="Gadugi" w:hAnsi="Gadugi" w:cs="Gadugi"/>
          <w:color w:val="4472C4"/>
          <w:sz w:val="22"/>
          <w:szCs w:val="22"/>
        </w:rPr>
      </w:pPr>
      <w:bookmarkStart w:id="3" w:name="_Toc188539068"/>
      <w:r>
        <w:rPr>
          <w:rFonts w:ascii="Gadugi" w:eastAsia="Gadugi" w:hAnsi="Gadugi" w:cs="Gadugi"/>
          <w:color w:val="4472C4"/>
          <w:sz w:val="22"/>
          <w:szCs w:val="22"/>
        </w:rPr>
        <w:t>1.2.</w:t>
      </w:r>
      <w:r>
        <w:rPr>
          <w:rFonts w:ascii="Gadugi" w:eastAsia="Gadugi" w:hAnsi="Gadugi" w:cs="Gadugi"/>
          <w:color w:val="4472C4"/>
          <w:sz w:val="22"/>
          <w:szCs w:val="22"/>
        </w:rPr>
        <w:tab/>
        <w:t>CRITERIOS PARA EL USO</w:t>
      </w:r>
      <w:bookmarkEnd w:id="3"/>
    </w:p>
    <w:p w14:paraId="332BED66" w14:textId="77777777" w:rsidR="007462F0" w:rsidRDefault="009A2A4C">
      <w:pPr>
        <w:jc w:val="both"/>
        <w:rPr>
          <w:rFonts w:ascii="Gadugi" w:eastAsia="Gadugi" w:hAnsi="Gadugi" w:cs="Gadugi"/>
          <w:color w:val="000000"/>
        </w:rPr>
      </w:pPr>
      <w:r>
        <w:rPr>
          <w:rFonts w:ascii="Gadugi" w:eastAsia="Gadugi" w:hAnsi="Gadugi" w:cs="Gadugi"/>
          <w:color w:val="000000"/>
        </w:rPr>
        <w:t xml:space="preserve">La selección de un Grupo Electrógeno de una Central Eléctrica de acuerdo con su uso o aplicación está determinada por la criticidad e importancia de las cargas eléctricas que suplirán y el tipo de operación a la cual serán sometidos. En este sentido el criterio la selección de un </w:t>
      </w:r>
      <w:proofErr w:type="spellStart"/>
      <w:r>
        <w:rPr>
          <w:rFonts w:ascii="Gadugi" w:eastAsia="Gadugi" w:hAnsi="Gadugi" w:cs="Gadugi"/>
          <w:color w:val="000000"/>
        </w:rPr>
        <w:t>motogenerador</w:t>
      </w:r>
      <w:proofErr w:type="spellEnd"/>
      <w:r>
        <w:rPr>
          <w:rFonts w:ascii="Gadugi" w:eastAsia="Gadugi" w:hAnsi="Gadugi" w:cs="Gadugi"/>
          <w:color w:val="000000"/>
        </w:rPr>
        <w:t xml:space="preserve"> o de un turbogenerador serán las siguientes:</w:t>
      </w:r>
    </w:p>
    <w:p w14:paraId="373F34ED" w14:textId="77777777" w:rsidR="007462F0" w:rsidRDefault="007462F0">
      <w:pPr>
        <w:jc w:val="both"/>
        <w:rPr>
          <w:rFonts w:ascii="Gadugi" w:eastAsia="Gadugi" w:hAnsi="Gadugi" w:cs="Gadugi"/>
          <w:color w:val="000000"/>
        </w:rPr>
      </w:pPr>
    </w:p>
    <w:p w14:paraId="0EDE3DE5" w14:textId="77777777" w:rsidR="007462F0" w:rsidRPr="008621BF" w:rsidRDefault="009A2A4C">
      <w:pPr>
        <w:widowControl w:val="0"/>
        <w:numPr>
          <w:ilvl w:val="0"/>
          <w:numId w:val="14"/>
        </w:numPr>
        <w:pBdr>
          <w:top w:val="nil"/>
          <w:left w:val="nil"/>
          <w:bottom w:val="nil"/>
          <w:right w:val="nil"/>
          <w:between w:val="nil"/>
        </w:pBdr>
        <w:spacing w:before="139" w:after="0"/>
        <w:ind w:left="714" w:hanging="357"/>
        <w:jc w:val="both"/>
        <w:rPr>
          <w:rFonts w:ascii="Gadugi" w:eastAsia="Gadugi" w:hAnsi="Gadugi" w:cs="Gadugi"/>
          <w:color w:val="000000"/>
        </w:rPr>
      </w:pPr>
      <w:r w:rsidRPr="008621BF">
        <w:rPr>
          <w:rFonts w:ascii="Gadugi" w:eastAsia="Gadugi" w:hAnsi="Gadugi" w:cs="Gadugi"/>
          <w:color w:val="000000"/>
        </w:rPr>
        <w:t xml:space="preserve">Para uso en aplicaciones de respaldo de emergencia con arranque muy rápido se recomienda el uso de Grupos Electrógenos con </w:t>
      </w:r>
      <w:proofErr w:type="spellStart"/>
      <w:r w:rsidRPr="008621BF">
        <w:rPr>
          <w:rFonts w:ascii="Gadugi" w:eastAsia="Gadugi" w:hAnsi="Gadugi" w:cs="Gadugi"/>
          <w:color w:val="000000"/>
        </w:rPr>
        <w:t>motogeneradores</w:t>
      </w:r>
      <w:proofErr w:type="spellEnd"/>
      <w:r w:rsidRPr="008621BF">
        <w:rPr>
          <w:rFonts w:ascii="Gadugi" w:eastAsia="Gadugi" w:hAnsi="Gadugi" w:cs="Gadugi"/>
          <w:color w:val="000000"/>
        </w:rPr>
        <w:t>, con combustible líquido.</w:t>
      </w:r>
    </w:p>
    <w:p w14:paraId="7EF92CD7" w14:textId="77777777" w:rsidR="007462F0" w:rsidRPr="008621BF" w:rsidRDefault="009A2A4C">
      <w:pPr>
        <w:widowControl w:val="0"/>
        <w:numPr>
          <w:ilvl w:val="0"/>
          <w:numId w:val="14"/>
        </w:numPr>
        <w:pBdr>
          <w:top w:val="nil"/>
          <w:left w:val="nil"/>
          <w:bottom w:val="nil"/>
          <w:right w:val="nil"/>
          <w:between w:val="nil"/>
        </w:pBdr>
        <w:spacing w:before="139" w:after="0"/>
        <w:ind w:left="714" w:hanging="357"/>
        <w:jc w:val="both"/>
        <w:rPr>
          <w:rFonts w:ascii="Gadugi" w:eastAsia="Gadugi" w:hAnsi="Gadugi" w:cs="Gadugi"/>
          <w:color w:val="000000"/>
        </w:rPr>
      </w:pPr>
      <w:r w:rsidRPr="008621BF">
        <w:rPr>
          <w:rFonts w:ascii="Gadugi" w:eastAsia="Gadugi" w:hAnsi="Gadugi" w:cs="Gadugi"/>
          <w:color w:val="000000"/>
        </w:rPr>
        <w:t xml:space="preserve">Para uso en aplicaciones de régimen continuo (no permanente) a carga variable (suministro primario o prime) con ciclos de operación a carga constante no mayores de 12 horas continuas, se recomienda el uso de Grupos Electrógenos con </w:t>
      </w:r>
      <w:proofErr w:type="spellStart"/>
      <w:r w:rsidRPr="008621BF">
        <w:rPr>
          <w:rFonts w:ascii="Gadugi" w:eastAsia="Gadugi" w:hAnsi="Gadugi" w:cs="Gadugi"/>
          <w:color w:val="000000"/>
        </w:rPr>
        <w:t>motogeneradores</w:t>
      </w:r>
      <w:proofErr w:type="spellEnd"/>
      <w:r w:rsidRPr="008621BF">
        <w:rPr>
          <w:rFonts w:ascii="Gadugi" w:eastAsia="Gadugi" w:hAnsi="Gadugi" w:cs="Gadugi"/>
          <w:color w:val="000000"/>
        </w:rPr>
        <w:t>.</w:t>
      </w:r>
    </w:p>
    <w:p w14:paraId="383A2C37" w14:textId="77777777" w:rsidR="007462F0" w:rsidRPr="008621BF" w:rsidRDefault="009A2A4C">
      <w:pPr>
        <w:widowControl w:val="0"/>
        <w:numPr>
          <w:ilvl w:val="0"/>
          <w:numId w:val="14"/>
        </w:numPr>
        <w:pBdr>
          <w:top w:val="nil"/>
          <w:left w:val="nil"/>
          <w:bottom w:val="nil"/>
          <w:right w:val="nil"/>
          <w:between w:val="nil"/>
        </w:pBdr>
        <w:spacing w:before="139" w:after="0"/>
        <w:ind w:left="714" w:hanging="357"/>
        <w:jc w:val="both"/>
        <w:rPr>
          <w:rFonts w:ascii="Gadugi" w:eastAsia="Gadugi" w:hAnsi="Gadugi" w:cs="Gadugi"/>
          <w:color w:val="000000"/>
        </w:rPr>
      </w:pPr>
      <w:r w:rsidRPr="008621BF">
        <w:rPr>
          <w:rFonts w:ascii="Gadugi" w:eastAsia="Gadugi" w:hAnsi="Gadugi" w:cs="Gadugi"/>
          <w:color w:val="000000"/>
        </w:rPr>
        <w:t>Para uso en aplicaciones de régimen continuo a carga constante (suministro de carga base), se recomienda el uso de Grupos Electrógenos con motor rotativo (turbogeneradores), con combustible líquido.</w:t>
      </w:r>
    </w:p>
    <w:p w14:paraId="2ABF1A6A" w14:textId="77777777" w:rsidR="007462F0" w:rsidRDefault="007462F0">
      <w:pPr>
        <w:jc w:val="both"/>
        <w:rPr>
          <w:rFonts w:ascii="Gadugi" w:eastAsia="Gadugi" w:hAnsi="Gadugi" w:cs="Gadugi"/>
          <w:color w:val="000000"/>
        </w:rPr>
      </w:pPr>
    </w:p>
    <w:p w14:paraId="00652596" w14:textId="575FDD17" w:rsidR="007462F0" w:rsidRDefault="009A2A4C">
      <w:pPr>
        <w:pStyle w:val="Ttulo2"/>
        <w:spacing w:after="120"/>
        <w:ind w:left="720" w:hanging="720"/>
        <w:rPr>
          <w:rFonts w:ascii="Gadugi" w:eastAsia="Gadugi" w:hAnsi="Gadugi" w:cs="Gadugi"/>
          <w:color w:val="4472C4"/>
          <w:sz w:val="22"/>
          <w:szCs w:val="22"/>
        </w:rPr>
      </w:pPr>
      <w:bookmarkStart w:id="4" w:name="_Toc188539069"/>
      <w:r>
        <w:rPr>
          <w:rFonts w:ascii="Gadugi" w:eastAsia="Gadugi" w:hAnsi="Gadugi" w:cs="Gadugi"/>
          <w:color w:val="4472C4"/>
          <w:sz w:val="22"/>
          <w:szCs w:val="22"/>
        </w:rPr>
        <w:t>1.3.</w:t>
      </w:r>
      <w:r>
        <w:rPr>
          <w:rFonts w:ascii="Gadugi" w:eastAsia="Gadugi" w:hAnsi="Gadugi" w:cs="Gadugi"/>
          <w:color w:val="4472C4"/>
          <w:sz w:val="22"/>
          <w:szCs w:val="22"/>
        </w:rPr>
        <w:tab/>
        <w:t>CRITERIOS DE OPERACIÓN DE LOS GRUPOS ELECTROGENOS</w:t>
      </w:r>
      <w:bookmarkEnd w:id="4"/>
    </w:p>
    <w:p w14:paraId="435F8D23" w14:textId="77777777" w:rsidR="007462F0" w:rsidRDefault="009A2A4C">
      <w:pPr>
        <w:jc w:val="both"/>
        <w:rPr>
          <w:rFonts w:ascii="Gadugi" w:eastAsia="Gadugi" w:hAnsi="Gadugi" w:cs="Gadugi"/>
          <w:color w:val="000000"/>
        </w:rPr>
      </w:pPr>
      <w:r>
        <w:rPr>
          <w:rFonts w:ascii="Gadugi" w:eastAsia="Gadugi" w:hAnsi="Gadugi" w:cs="Gadugi"/>
          <w:color w:val="000000"/>
        </w:rPr>
        <w:t>La aplicación y uso de grupos electrógenos como sistemas de suministro alternativo de electricidad en Centrales Eléctricas obligatoriamente deberá cumplir con criterios técnicos para garantizar su continuidad operativa, estos criterios en muchas ocasiones no son mencionados en los manuales de los fabricantes porque solo se relacionan exclusivamente con la aplicación de los grupos electrógenos y es la empresa de ingeniería que diseñan y realizan la integración del sistema.</w:t>
      </w:r>
    </w:p>
    <w:p w14:paraId="43B6408C" w14:textId="77777777" w:rsidR="007462F0" w:rsidRDefault="007462F0">
      <w:pPr>
        <w:jc w:val="both"/>
        <w:rPr>
          <w:rFonts w:ascii="Gadugi" w:eastAsia="Gadugi" w:hAnsi="Gadugi" w:cs="Gadugi"/>
          <w:color w:val="000000"/>
        </w:rPr>
      </w:pPr>
    </w:p>
    <w:p w14:paraId="41D71200" w14:textId="13B18EC1" w:rsidR="007462F0" w:rsidRDefault="009A2A4C">
      <w:pPr>
        <w:pStyle w:val="Ttulo3"/>
        <w:rPr>
          <w:rFonts w:ascii="Gadugi" w:eastAsia="Gadugi" w:hAnsi="Gadugi" w:cs="Gadugi"/>
          <w:color w:val="000000"/>
          <w:sz w:val="22"/>
          <w:szCs w:val="22"/>
        </w:rPr>
      </w:pPr>
      <w:bookmarkStart w:id="5" w:name="_Toc188539070"/>
      <w:r>
        <w:rPr>
          <w:rFonts w:ascii="Gadugi" w:eastAsia="Gadugi" w:hAnsi="Gadugi" w:cs="Gadugi"/>
          <w:color w:val="000000"/>
          <w:sz w:val="22"/>
          <w:szCs w:val="22"/>
        </w:rPr>
        <w:lastRenderedPageBreak/>
        <w:t>1.3.1.</w:t>
      </w:r>
      <w:r>
        <w:rPr>
          <w:rFonts w:ascii="Gadugi" w:eastAsia="Gadugi" w:hAnsi="Gadugi" w:cs="Gadugi"/>
          <w:color w:val="000000"/>
          <w:sz w:val="22"/>
          <w:szCs w:val="22"/>
        </w:rPr>
        <w:tab/>
        <w:t>Régimen Continuo (Prime)</w:t>
      </w:r>
      <w:bookmarkEnd w:id="5"/>
    </w:p>
    <w:p w14:paraId="72DA6D5A" w14:textId="77777777" w:rsidR="007462F0" w:rsidRDefault="009A2A4C">
      <w:pPr>
        <w:jc w:val="both"/>
        <w:rPr>
          <w:rFonts w:ascii="Gadugi" w:eastAsia="Gadugi" w:hAnsi="Gadugi" w:cs="Gadugi"/>
          <w:color w:val="000000"/>
        </w:rPr>
      </w:pPr>
      <w:r>
        <w:rPr>
          <w:rFonts w:ascii="Gadugi" w:eastAsia="Gadugi" w:hAnsi="Gadugi" w:cs="Gadugi"/>
          <w:color w:val="000000"/>
        </w:rPr>
        <w:t xml:space="preserve">Se considera aplicación en régimen continuo y primario cuando la central eléctrica o el grupo electrógeno son utilizados para producir la energía eléctrica que consumen las cargas bases o cargas básicas durante periodos de tiempo considerados continuos. </w:t>
      </w:r>
    </w:p>
    <w:p w14:paraId="40A2105A" w14:textId="77777777" w:rsidR="007462F0" w:rsidRDefault="009A2A4C">
      <w:pPr>
        <w:jc w:val="both"/>
        <w:rPr>
          <w:rFonts w:ascii="Gadugi" w:eastAsia="Gadugi" w:hAnsi="Gadugi" w:cs="Gadugi"/>
          <w:color w:val="000000"/>
        </w:rPr>
      </w:pPr>
      <w:r>
        <w:rPr>
          <w:rFonts w:ascii="Gadugi" w:eastAsia="Gadugi" w:hAnsi="Gadugi" w:cs="Gadugi"/>
          <w:color w:val="000000"/>
        </w:rPr>
        <w:t xml:space="preserve">Los Grupos Electrógenos de funcionamiento en "régimen continuo", son aquellos Grupos Electrógenos diseñados para el suministro permanente de energía eléctrica, pueden operar al 100 % de su potencia nominal indicada en placa con carga constantes de forma permanente y solo se necesita detenerlos para realizar las rutinas de mantenimiento. La potencia indicada en placa no puede ser sobrepasada, ni en períodos muy cortos. Los grupos electrógenos de operación en régimen continuo requieren de sistemas asociados como refrigeración, escapes y combustible de mayor exigencia que los de otros regímenes de trabajo. </w:t>
      </w:r>
    </w:p>
    <w:p w14:paraId="245A33E0" w14:textId="77777777" w:rsidR="007462F0" w:rsidRDefault="009A2A4C">
      <w:pPr>
        <w:jc w:val="both"/>
        <w:rPr>
          <w:rFonts w:ascii="Gadugi" w:eastAsia="Gadugi" w:hAnsi="Gadugi" w:cs="Gadugi"/>
          <w:color w:val="000000"/>
        </w:rPr>
      </w:pPr>
      <w:r>
        <w:rPr>
          <w:rFonts w:ascii="Gadugi" w:eastAsia="Gadugi" w:hAnsi="Gadugi" w:cs="Gadugi"/>
          <w:color w:val="000000"/>
        </w:rPr>
        <w:t>Grupos Electrógenos de funcionamiento en régimen primario "Prime", son aquellos Grupos Electrógenos utilizados para suministrar energía eléctrica de forma continua en aplicaciones de recortes de pico de demanda eléctrica o centrales eléctricas de reserva. Pueden ser utilizados también para generación continúa pesada, sin embargo, solo pueden trabajar con cargas variables sin sobrepasar su potencia de placa</w:t>
      </w:r>
    </w:p>
    <w:p w14:paraId="3384D06C" w14:textId="77777777" w:rsidR="007462F0" w:rsidRDefault="009A2A4C">
      <w:pPr>
        <w:jc w:val="both"/>
        <w:rPr>
          <w:rFonts w:ascii="Gadugi" w:eastAsia="Gadugi" w:hAnsi="Gadugi" w:cs="Gadugi"/>
          <w:color w:val="000000"/>
        </w:rPr>
      </w:pPr>
      <w:r>
        <w:rPr>
          <w:rFonts w:ascii="Gadugi" w:eastAsia="Gadugi" w:hAnsi="Gadugi" w:cs="Gadugi"/>
          <w:color w:val="000000"/>
        </w:rPr>
        <w:t>Premisas importantes para la operación de grupos electrógenos en regímenes continuos:</w:t>
      </w:r>
    </w:p>
    <w:p w14:paraId="093C93FB" w14:textId="77777777" w:rsidR="007462F0" w:rsidRPr="008621BF" w:rsidRDefault="009A2A4C">
      <w:pPr>
        <w:widowControl w:val="0"/>
        <w:numPr>
          <w:ilvl w:val="0"/>
          <w:numId w:val="1"/>
        </w:numPr>
        <w:pBdr>
          <w:top w:val="nil"/>
          <w:left w:val="nil"/>
          <w:bottom w:val="nil"/>
          <w:right w:val="nil"/>
          <w:between w:val="nil"/>
        </w:pBdr>
        <w:spacing w:before="139" w:after="0"/>
        <w:ind w:left="714" w:hanging="357"/>
        <w:jc w:val="both"/>
        <w:rPr>
          <w:rFonts w:ascii="Gadugi" w:eastAsia="Gadugi" w:hAnsi="Gadugi" w:cs="Gadugi"/>
          <w:color w:val="000000"/>
        </w:rPr>
      </w:pPr>
      <w:r w:rsidRPr="008621BF">
        <w:rPr>
          <w:rFonts w:ascii="Gadugi" w:eastAsia="Gadugi" w:hAnsi="Gadugi" w:cs="Gadugi"/>
          <w:color w:val="000000"/>
        </w:rPr>
        <w:t>Nunca deberá operarse un grupo electrógeno por debajo del 30 % de su capacidad nominal de placa. Igualmente, nunca deberá superarse el máximo indicado en placa de acuerdo al régimen de operación.</w:t>
      </w:r>
    </w:p>
    <w:p w14:paraId="7405C85E" w14:textId="77777777" w:rsidR="007462F0" w:rsidRPr="008621BF" w:rsidRDefault="009A2A4C">
      <w:pPr>
        <w:widowControl w:val="0"/>
        <w:numPr>
          <w:ilvl w:val="0"/>
          <w:numId w:val="1"/>
        </w:numPr>
        <w:pBdr>
          <w:top w:val="nil"/>
          <w:left w:val="nil"/>
          <w:bottom w:val="nil"/>
          <w:right w:val="nil"/>
          <w:between w:val="nil"/>
        </w:pBdr>
        <w:spacing w:before="139" w:after="0"/>
        <w:ind w:left="714" w:hanging="357"/>
        <w:jc w:val="both"/>
        <w:rPr>
          <w:rFonts w:ascii="Gadugi" w:eastAsia="Gadugi" w:hAnsi="Gadugi" w:cs="Gadugi"/>
          <w:color w:val="000000"/>
        </w:rPr>
      </w:pPr>
      <w:r w:rsidRPr="008621BF">
        <w:rPr>
          <w:rFonts w:ascii="Gadugi" w:eastAsia="Gadugi" w:hAnsi="Gadugi" w:cs="Gadugi"/>
          <w:color w:val="000000"/>
        </w:rPr>
        <w:t>Para operación en régimen paralelo y de acuerdo con la condición de contingencia diseñada (N-1 o N-2), la carga máxima de operación deberá estar entre 60 y 80 % de la capacidad máxima dentro del régimen de continuidad.</w:t>
      </w:r>
    </w:p>
    <w:p w14:paraId="1CE4A33B" w14:textId="0B3FCB59" w:rsidR="007462F0" w:rsidRDefault="009A2A4C">
      <w:pPr>
        <w:widowControl w:val="0"/>
        <w:numPr>
          <w:ilvl w:val="0"/>
          <w:numId w:val="1"/>
        </w:numPr>
        <w:pBdr>
          <w:top w:val="nil"/>
          <w:left w:val="nil"/>
          <w:bottom w:val="nil"/>
          <w:right w:val="nil"/>
          <w:between w:val="nil"/>
        </w:pBdr>
        <w:spacing w:before="139" w:after="0"/>
        <w:ind w:left="714" w:hanging="357"/>
        <w:jc w:val="both"/>
        <w:rPr>
          <w:rFonts w:ascii="Gadugi" w:eastAsia="Gadugi" w:hAnsi="Gadugi" w:cs="Gadugi"/>
          <w:color w:val="000000"/>
        </w:rPr>
      </w:pPr>
      <w:r w:rsidRPr="008621BF">
        <w:rPr>
          <w:rFonts w:ascii="Gadugi" w:eastAsia="Gadugi" w:hAnsi="Gadugi" w:cs="Gadugi"/>
          <w:color w:val="000000"/>
        </w:rPr>
        <w:t>Para colocar carga a un grupo electrógeno en vacío, se procederá gradualmente en pasos de no más de 20% de la capacidad nominal y después del 50%, se puede colocar toda la carga hasta el 100%.</w:t>
      </w:r>
    </w:p>
    <w:p w14:paraId="4595743D" w14:textId="11991C75" w:rsidR="008621BF" w:rsidRPr="008621BF" w:rsidRDefault="008621BF" w:rsidP="008621BF">
      <w:pPr>
        <w:rPr>
          <w:rFonts w:ascii="Gadugi" w:eastAsia="Gadugi" w:hAnsi="Gadugi" w:cs="Gadugi"/>
          <w:color w:val="000000"/>
        </w:rPr>
      </w:pPr>
      <w:r>
        <w:rPr>
          <w:rFonts w:ascii="Gadugi" w:eastAsia="Gadugi" w:hAnsi="Gadugi" w:cs="Gadugi"/>
          <w:color w:val="000000"/>
        </w:rPr>
        <w:br w:type="page"/>
      </w:r>
    </w:p>
    <w:p w14:paraId="3D8D96FD" w14:textId="5A75FB18" w:rsidR="007462F0" w:rsidRPr="008621BF" w:rsidRDefault="009A2A4C" w:rsidP="008621BF">
      <w:pPr>
        <w:pStyle w:val="Ttulo1"/>
        <w:numPr>
          <w:ilvl w:val="0"/>
          <w:numId w:val="12"/>
        </w:numPr>
        <w:spacing w:after="240" w:line="259" w:lineRule="auto"/>
        <w:ind w:left="357" w:hanging="357"/>
        <w:rPr>
          <w:rFonts w:ascii="Gadugi" w:eastAsia="Gadugi" w:hAnsi="Gadugi" w:cs="Gadugi"/>
          <w:b/>
          <w:color w:val="4472C4"/>
          <w:sz w:val="22"/>
          <w:szCs w:val="22"/>
          <w:u w:val="none"/>
        </w:rPr>
      </w:pPr>
      <w:bookmarkStart w:id="6" w:name="_Toc188539071"/>
      <w:r>
        <w:rPr>
          <w:rFonts w:ascii="Gadugi" w:eastAsia="Gadugi" w:hAnsi="Gadugi" w:cs="Gadugi"/>
          <w:b/>
          <w:color w:val="4472C4"/>
          <w:sz w:val="22"/>
          <w:szCs w:val="22"/>
          <w:u w:val="none"/>
        </w:rPr>
        <w:lastRenderedPageBreak/>
        <w:t>REGULACIONES OBLIGATORIAS Y NORMAS DE REFERENCIA</w:t>
      </w:r>
      <w:bookmarkEnd w:id="6"/>
    </w:p>
    <w:p w14:paraId="7BE643D8" w14:textId="119244CA" w:rsidR="007462F0" w:rsidRDefault="009A2A4C">
      <w:pPr>
        <w:pStyle w:val="Ttulo2"/>
        <w:spacing w:after="120"/>
        <w:ind w:left="720" w:hanging="720"/>
        <w:rPr>
          <w:rFonts w:ascii="Gadugi" w:eastAsia="Gadugi" w:hAnsi="Gadugi" w:cs="Gadugi"/>
          <w:color w:val="4472C4"/>
          <w:sz w:val="22"/>
          <w:szCs w:val="22"/>
        </w:rPr>
      </w:pPr>
      <w:bookmarkStart w:id="7" w:name="_Toc188539072"/>
      <w:r>
        <w:rPr>
          <w:rFonts w:ascii="Gadugi" w:eastAsia="Gadugi" w:hAnsi="Gadugi" w:cs="Gadugi"/>
          <w:color w:val="4472C4"/>
          <w:sz w:val="22"/>
          <w:szCs w:val="22"/>
        </w:rPr>
        <w:t>2.1.</w:t>
      </w:r>
      <w:r>
        <w:rPr>
          <w:rFonts w:ascii="Gadugi" w:eastAsia="Gadugi" w:hAnsi="Gadugi" w:cs="Gadugi"/>
          <w:color w:val="4472C4"/>
          <w:sz w:val="22"/>
          <w:szCs w:val="22"/>
        </w:rPr>
        <w:tab/>
        <w:t>ORGANISMOS DE NORMALIZACI</w:t>
      </w:r>
      <w:r w:rsidR="008621BF">
        <w:rPr>
          <w:rFonts w:ascii="Gadugi" w:eastAsia="Gadugi" w:hAnsi="Gadugi" w:cs="Gadugi"/>
          <w:color w:val="4472C4"/>
          <w:sz w:val="22"/>
          <w:szCs w:val="22"/>
        </w:rPr>
        <w:t>Ó</w:t>
      </w:r>
      <w:r>
        <w:rPr>
          <w:rFonts w:ascii="Gadugi" w:eastAsia="Gadugi" w:hAnsi="Gadugi" w:cs="Gadugi"/>
          <w:color w:val="4472C4"/>
          <w:sz w:val="22"/>
          <w:szCs w:val="22"/>
        </w:rPr>
        <w:t>N Y CERTIFICACI</w:t>
      </w:r>
      <w:r w:rsidR="008621BF">
        <w:rPr>
          <w:rFonts w:ascii="Gadugi" w:eastAsia="Gadugi" w:hAnsi="Gadugi" w:cs="Gadugi"/>
          <w:color w:val="4472C4"/>
          <w:sz w:val="22"/>
          <w:szCs w:val="22"/>
        </w:rPr>
        <w:t>Ó</w:t>
      </w:r>
      <w:r>
        <w:rPr>
          <w:rFonts w:ascii="Gadugi" w:eastAsia="Gadugi" w:hAnsi="Gadugi" w:cs="Gadugi"/>
          <w:color w:val="4472C4"/>
          <w:sz w:val="22"/>
          <w:szCs w:val="22"/>
        </w:rPr>
        <w:t>N</w:t>
      </w:r>
      <w:bookmarkEnd w:id="7"/>
    </w:p>
    <w:p w14:paraId="4BC5B0CD" w14:textId="77777777" w:rsidR="007462F0" w:rsidRDefault="009A2A4C">
      <w:pPr>
        <w:jc w:val="both"/>
        <w:rPr>
          <w:rFonts w:ascii="Gadugi" w:eastAsia="Gadugi" w:hAnsi="Gadugi" w:cs="Gadugi"/>
          <w:color w:val="000000"/>
        </w:rPr>
      </w:pPr>
      <w:r>
        <w:rPr>
          <w:rFonts w:ascii="Gadugi" w:eastAsia="Gadugi" w:hAnsi="Gadugi" w:cs="Gadugi"/>
          <w:color w:val="000000"/>
        </w:rPr>
        <w:t xml:space="preserve">En el ámbito internacional hay cinco instituciones de reconocida trayectoria en la regularización y normalización del diseño, fabricación, instalación y mantenimiento de Grupos Electrógenos, Centrales Eléctricas, sus partes, dispositivos e instalaciones y muchas de sus normas son admitidas directamente o se utilizan como referencia para la elaboración de las normas correspondientes por los organismos de normalización de los países donde es obligatoria su aplicación. Estas instituciones son: NFPA "National Pire  </w:t>
      </w:r>
      <w:proofErr w:type="spellStart"/>
      <w:r>
        <w:rPr>
          <w:rFonts w:ascii="Gadugi" w:eastAsia="Gadugi" w:hAnsi="Gadugi" w:cs="Gadugi"/>
          <w:color w:val="000000"/>
        </w:rPr>
        <w:t>Protection</w:t>
      </w:r>
      <w:proofErr w:type="spellEnd"/>
      <w:r>
        <w:rPr>
          <w:rFonts w:ascii="Gadugi" w:eastAsia="Gadugi" w:hAnsi="Gadugi" w:cs="Gadugi"/>
          <w:color w:val="000000"/>
        </w:rPr>
        <w:t xml:space="preserve"> Association" (Asociación Nacional de Protección contra Incendios  de USA), NEMA "National </w:t>
      </w:r>
      <w:proofErr w:type="spellStart"/>
      <w:r>
        <w:rPr>
          <w:rFonts w:ascii="Gadugi" w:eastAsia="Gadugi" w:hAnsi="Gadugi" w:cs="Gadugi"/>
          <w:color w:val="000000"/>
        </w:rPr>
        <w:t>Electrics</w:t>
      </w:r>
      <w:proofErr w:type="spellEnd"/>
      <w:r>
        <w:rPr>
          <w:rFonts w:ascii="Gadugi" w:eastAsia="Gadugi" w:hAnsi="Gadugi" w:cs="Gadugi"/>
          <w:color w:val="000000"/>
        </w:rPr>
        <w:t xml:space="preserve"> </w:t>
      </w:r>
      <w:proofErr w:type="spellStart"/>
      <w:r>
        <w:rPr>
          <w:rFonts w:ascii="Gadugi" w:eastAsia="Gadugi" w:hAnsi="Gadugi" w:cs="Gadugi"/>
          <w:color w:val="000000"/>
        </w:rPr>
        <w:t>Manufacturer</w:t>
      </w:r>
      <w:proofErr w:type="spellEnd"/>
      <w:r>
        <w:rPr>
          <w:rFonts w:ascii="Gadugi" w:eastAsia="Gadugi" w:hAnsi="Gadugi" w:cs="Gadugi"/>
          <w:color w:val="000000"/>
        </w:rPr>
        <w:t xml:space="preserve"> Association" (Asociación  Nacional de </w:t>
      </w:r>
      <w:proofErr w:type="spellStart"/>
      <w:r>
        <w:rPr>
          <w:rFonts w:ascii="Gadugi" w:eastAsia="Gadugi" w:hAnsi="Gadugi" w:cs="Gadugi"/>
          <w:color w:val="000000"/>
        </w:rPr>
        <w:t>Pabricantes</w:t>
      </w:r>
      <w:proofErr w:type="spellEnd"/>
      <w:r>
        <w:rPr>
          <w:rFonts w:ascii="Gadugi" w:eastAsia="Gadugi" w:hAnsi="Gadugi" w:cs="Gadugi"/>
          <w:color w:val="000000"/>
        </w:rPr>
        <w:t xml:space="preserve"> Eléctricos de USA), IEEE "</w:t>
      </w:r>
      <w:proofErr w:type="spellStart"/>
      <w:r>
        <w:rPr>
          <w:rFonts w:ascii="Gadugi" w:eastAsia="Gadugi" w:hAnsi="Gadugi" w:cs="Gadugi"/>
          <w:color w:val="000000"/>
        </w:rPr>
        <w:t>Institute</w:t>
      </w:r>
      <w:proofErr w:type="spellEnd"/>
      <w:r>
        <w:rPr>
          <w:rFonts w:ascii="Gadugi" w:eastAsia="Gadugi" w:hAnsi="Gadugi" w:cs="Gadugi"/>
          <w:color w:val="000000"/>
        </w:rPr>
        <w:t xml:space="preserve"> </w:t>
      </w:r>
      <w:proofErr w:type="spellStart"/>
      <w:r>
        <w:rPr>
          <w:rFonts w:ascii="Gadugi" w:eastAsia="Gadugi" w:hAnsi="Gadugi" w:cs="Gadugi"/>
          <w:color w:val="000000"/>
        </w:rPr>
        <w:t>of</w:t>
      </w:r>
      <w:proofErr w:type="spellEnd"/>
      <w:r>
        <w:rPr>
          <w:rFonts w:ascii="Gadugi" w:eastAsia="Gadugi" w:hAnsi="Gadugi" w:cs="Gadugi"/>
          <w:color w:val="000000"/>
        </w:rPr>
        <w:t xml:space="preserve"> </w:t>
      </w:r>
      <w:proofErr w:type="spellStart"/>
      <w:r>
        <w:rPr>
          <w:rFonts w:ascii="Gadugi" w:eastAsia="Gadugi" w:hAnsi="Gadugi" w:cs="Gadugi"/>
          <w:color w:val="000000"/>
        </w:rPr>
        <w:t>Electrical</w:t>
      </w:r>
      <w:proofErr w:type="spellEnd"/>
      <w:r>
        <w:rPr>
          <w:rFonts w:ascii="Gadugi" w:eastAsia="Gadugi" w:hAnsi="Gadugi" w:cs="Gadugi"/>
          <w:color w:val="000000"/>
        </w:rPr>
        <w:t xml:space="preserve"> and  </w:t>
      </w:r>
      <w:proofErr w:type="spellStart"/>
      <w:r>
        <w:rPr>
          <w:rFonts w:ascii="Gadugi" w:eastAsia="Gadugi" w:hAnsi="Gadugi" w:cs="Gadugi"/>
          <w:color w:val="000000"/>
        </w:rPr>
        <w:t>Electronics</w:t>
      </w:r>
      <w:proofErr w:type="spellEnd"/>
      <w:r>
        <w:rPr>
          <w:rFonts w:ascii="Gadugi" w:eastAsia="Gadugi" w:hAnsi="Gadugi" w:cs="Gadugi"/>
          <w:color w:val="000000"/>
        </w:rPr>
        <w:t xml:space="preserve"> </w:t>
      </w:r>
      <w:proofErr w:type="spellStart"/>
      <w:r>
        <w:rPr>
          <w:rFonts w:ascii="Gadugi" w:eastAsia="Gadugi" w:hAnsi="Gadugi" w:cs="Gadugi"/>
          <w:color w:val="000000"/>
        </w:rPr>
        <w:t>Engineers</w:t>
      </w:r>
      <w:proofErr w:type="spellEnd"/>
      <w:r>
        <w:rPr>
          <w:rFonts w:ascii="Gadugi" w:eastAsia="Gadugi" w:hAnsi="Gadugi" w:cs="Gadugi"/>
          <w:color w:val="000000"/>
        </w:rPr>
        <w:t xml:space="preserve">" (Instituto de Ingenieros Electricistas y Electrónicos de  USA), ISO "International </w:t>
      </w:r>
      <w:proofErr w:type="spellStart"/>
      <w:r>
        <w:rPr>
          <w:rFonts w:ascii="Gadugi" w:eastAsia="Gadugi" w:hAnsi="Gadugi" w:cs="Gadugi"/>
          <w:color w:val="000000"/>
        </w:rPr>
        <w:t>Organization</w:t>
      </w:r>
      <w:proofErr w:type="spellEnd"/>
      <w:r>
        <w:rPr>
          <w:rFonts w:ascii="Gadugi" w:eastAsia="Gadugi" w:hAnsi="Gadugi" w:cs="Gadugi"/>
          <w:color w:val="000000"/>
        </w:rPr>
        <w:t xml:space="preserve"> </w:t>
      </w:r>
      <w:proofErr w:type="spellStart"/>
      <w:r>
        <w:rPr>
          <w:rFonts w:ascii="Gadugi" w:eastAsia="Gadugi" w:hAnsi="Gadugi" w:cs="Gadugi"/>
          <w:color w:val="000000"/>
        </w:rPr>
        <w:t>for</w:t>
      </w:r>
      <w:proofErr w:type="spellEnd"/>
      <w:r>
        <w:rPr>
          <w:rFonts w:ascii="Gadugi" w:eastAsia="Gadugi" w:hAnsi="Gadugi" w:cs="Gadugi"/>
          <w:color w:val="000000"/>
        </w:rPr>
        <w:t xml:space="preserve"> </w:t>
      </w:r>
      <w:proofErr w:type="spellStart"/>
      <w:r>
        <w:rPr>
          <w:rFonts w:ascii="Gadugi" w:eastAsia="Gadugi" w:hAnsi="Gadugi" w:cs="Gadugi"/>
          <w:color w:val="000000"/>
        </w:rPr>
        <w:t>Standardization</w:t>
      </w:r>
      <w:proofErr w:type="spellEnd"/>
      <w:r>
        <w:rPr>
          <w:rFonts w:ascii="Gadugi" w:eastAsia="Gadugi" w:hAnsi="Gadugi" w:cs="Gadugi"/>
          <w:color w:val="000000"/>
        </w:rPr>
        <w:t xml:space="preserve">" (Organización  Internacional para la Normalización de Suiza), </w:t>
      </w:r>
      <w:proofErr w:type="spellStart"/>
      <w:r>
        <w:rPr>
          <w:rFonts w:ascii="Gadugi" w:eastAsia="Gadugi" w:hAnsi="Gadugi" w:cs="Gadugi"/>
          <w:color w:val="000000"/>
        </w:rPr>
        <w:t>lEC</w:t>
      </w:r>
      <w:proofErr w:type="spellEnd"/>
      <w:r>
        <w:rPr>
          <w:rFonts w:ascii="Gadugi" w:eastAsia="Gadugi" w:hAnsi="Gadugi" w:cs="Gadugi"/>
          <w:color w:val="000000"/>
        </w:rPr>
        <w:t xml:space="preserve"> "International  </w:t>
      </w:r>
      <w:proofErr w:type="spellStart"/>
      <w:r>
        <w:rPr>
          <w:rFonts w:ascii="Gadugi" w:eastAsia="Gadugi" w:hAnsi="Gadugi" w:cs="Gadugi"/>
          <w:color w:val="000000"/>
        </w:rPr>
        <w:t>Electrotechnical</w:t>
      </w:r>
      <w:proofErr w:type="spellEnd"/>
      <w:r>
        <w:rPr>
          <w:rFonts w:ascii="Gadugi" w:eastAsia="Gadugi" w:hAnsi="Gadugi" w:cs="Gadugi"/>
          <w:color w:val="000000"/>
        </w:rPr>
        <w:t xml:space="preserve"> </w:t>
      </w:r>
      <w:proofErr w:type="spellStart"/>
      <w:r>
        <w:rPr>
          <w:rFonts w:ascii="Gadugi" w:eastAsia="Gadugi" w:hAnsi="Gadugi" w:cs="Gadugi"/>
          <w:color w:val="000000"/>
        </w:rPr>
        <w:t>Commission</w:t>
      </w:r>
      <w:proofErr w:type="spellEnd"/>
      <w:r>
        <w:rPr>
          <w:rFonts w:ascii="Gadugi" w:eastAsia="Gadugi" w:hAnsi="Gadugi" w:cs="Gadugi"/>
          <w:color w:val="000000"/>
        </w:rPr>
        <w:t xml:space="preserve">" (Comisión Internacional de Electrotecnia,  Comunidad Europea) y ANSI "American National </w:t>
      </w:r>
      <w:proofErr w:type="spellStart"/>
      <w:r>
        <w:rPr>
          <w:rFonts w:ascii="Gadugi" w:eastAsia="Gadugi" w:hAnsi="Gadugi" w:cs="Gadugi"/>
          <w:color w:val="000000"/>
        </w:rPr>
        <w:t>Standards</w:t>
      </w:r>
      <w:proofErr w:type="spellEnd"/>
      <w:r>
        <w:rPr>
          <w:rFonts w:ascii="Gadugi" w:eastAsia="Gadugi" w:hAnsi="Gadugi" w:cs="Gadugi"/>
          <w:color w:val="000000"/>
        </w:rPr>
        <w:t xml:space="preserve"> </w:t>
      </w:r>
      <w:proofErr w:type="spellStart"/>
      <w:r>
        <w:rPr>
          <w:rFonts w:ascii="Gadugi" w:eastAsia="Gadugi" w:hAnsi="Gadugi" w:cs="Gadugi"/>
          <w:color w:val="000000"/>
        </w:rPr>
        <w:t>Institute</w:t>
      </w:r>
      <w:proofErr w:type="spellEnd"/>
      <w:r>
        <w:rPr>
          <w:rFonts w:ascii="Gadugi" w:eastAsia="Gadugi" w:hAnsi="Gadugi" w:cs="Gadugi"/>
          <w:color w:val="000000"/>
        </w:rPr>
        <w:t xml:space="preserve"> "  (Instituto Nacional de Normas Americanas de USA) . También entre las instituciones internacionales de certificación más reconocidas en ámbitos de la seguridad en la aplicación de dispositivos eléctricos y electrónicos están CSA "Canadian </w:t>
      </w:r>
      <w:proofErr w:type="spellStart"/>
      <w:r>
        <w:rPr>
          <w:rFonts w:ascii="Gadugi" w:eastAsia="Gadugi" w:hAnsi="Gadugi" w:cs="Gadugi"/>
          <w:color w:val="000000"/>
        </w:rPr>
        <w:t>Standards</w:t>
      </w:r>
      <w:proofErr w:type="spellEnd"/>
      <w:r>
        <w:rPr>
          <w:rFonts w:ascii="Gadugi" w:eastAsia="Gadugi" w:hAnsi="Gadugi" w:cs="Gadugi"/>
          <w:color w:val="000000"/>
        </w:rPr>
        <w:t xml:space="preserve"> Association" y U L - Underwriters Laboratories   Inc.</w:t>
      </w:r>
    </w:p>
    <w:p w14:paraId="7A1C81B6" w14:textId="77777777" w:rsidR="007462F0" w:rsidRDefault="007462F0">
      <w:pPr>
        <w:jc w:val="both"/>
        <w:rPr>
          <w:rFonts w:ascii="Gadugi" w:eastAsia="Gadugi" w:hAnsi="Gadugi" w:cs="Gadugi"/>
          <w:color w:val="000000"/>
        </w:rPr>
      </w:pPr>
    </w:p>
    <w:p w14:paraId="32A909C5" w14:textId="1DBE3BF6" w:rsidR="007462F0" w:rsidRDefault="009A2A4C">
      <w:pPr>
        <w:pStyle w:val="Ttulo2"/>
        <w:spacing w:after="120"/>
        <w:ind w:left="720" w:hanging="720"/>
        <w:rPr>
          <w:rFonts w:ascii="Gadugi" w:eastAsia="Gadugi" w:hAnsi="Gadugi" w:cs="Gadugi"/>
          <w:color w:val="4472C4"/>
          <w:sz w:val="22"/>
          <w:szCs w:val="22"/>
        </w:rPr>
      </w:pPr>
      <w:bookmarkStart w:id="8" w:name="_Toc188539073"/>
      <w:r>
        <w:rPr>
          <w:rFonts w:ascii="Gadugi" w:eastAsia="Gadugi" w:hAnsi="Gadugi" w:cs="Gadugi"/>
          <w:color w:val="4472C4"/>
          <w:sz w:val="22"/>
          <w:szCs w:val="22"/>
        </w:rPr>
        <w:t>2.2.</w:t>
      </w:r>
      <w:r>
        <w:rPr>
          <w:rFonts w:ascii="Gadugi" w:eastAsia="Gadugi" w:hAnsi="Gadugi" w:cs="Gadugi"/>
          <w:color w:val="4472C4"/>
          <w:sz w:val="22"/>
          <w:szCs w:val="22"/>
        </w:rPr>
        <w:tab/>
        <w:t>NORMALIZACION EN COLOMBIAS</w:t>
      </w:r>
      <w:bookmarkEnd w:id="8"/>
    </w:p>
    <w:p w14:paraId="0C1D8549" w14:textId="77777777" w:rsidR="007462F0" w:rsidRDefault="009A2A4C">
      <w:pPr>
        <w:jc w:val="both"/>
        <w:rPr>
          <w:rFonts w:ascii="Gadugi" w:eastAsia="Gadugi" w:hAnsi="Gadugi" w:cs="Gadugi"/>
          <w:color w:val="000000"/>
        </w:rPr>
      </w:pPr>
      <w:r>
        <w:rPr>
          <w:rFonts w:ascii="Gadugi" w:eastAsia="Gadugi" w:hAnsi="Gadugi" w:cs="Gadugi"/>
          <w:color w:val="000000"/>
        </w:rPr>
        <w:t>En la mayoría de los países donde el uso de la energía eléctrica es la base de su desarrollo y como se indicó en la introducción día a día depende más de la electricidad y la comodidad que esta brinda, es necesario la implantación de normas para el diseño, aplicación, instalación, operación y mantenimiento de los dispositivos que generan la electricidad como lo son los Grupos Electrógenos y la Centrales Eléctricas para que la mismas puedan dispensar la seguridad, disponibilidad y confiabilidad necesaria. En nuestro país Colombia, los organismos encargados de la elaboración y aplicación de normas de obligatoria o de referencia son: Instituto Colombiano de Normas Técnicas y Certificación ICONTEC, mediante</w:t>
      </w:r>
      <w:r>
        <w:t xml:space="preserve"> </w:t>
      </w:r>
      <w:r>
        <w:rPr>
          <w:rFonts w:ascii="Gadugi" w:eastAsia="Gadugi" w:hAnsi="Gadugi" w:cs="Gadugi"/>
          <w:color w:val="000000"/>
        </w:rPr>
        <w:t>la implementación del Código Eléctrico Colombiano NTC 2050 y el Ministerio de Minas y Energía con el Reglamento Técnico De Instalaciones Eléctricas RETIE.</w:t>
      </w:r>
    </w:p>
    <w:p w14:paraId="638EFAD6" w14:textId="77777777" w:rsidR="007462F0" w:rsidRDefault="009A2A4C">
      <w:pPr>
        <w:jc w:val="both"/>
        <w:rPr>
          <w:rFonts w:ascii="Gadugi" w:eastAsia="Gadugi" w:hAnsi="Gadugi" w:cs="Gadugi"/>
          <w:color w:val="000000"/>
        </w:rPr>
      </w:pPr>
      <w:r>
        <w:rPr>
          <w:rFonts w:ascii="Gadugi" w:eastAsia="Gadugi" w:hAnsi="Gadugi" w:cs="Gadugi"/>
          <w:color w:val="000000"/>
        </w:rPr>
        <w:lastRenderedPageBreak/>
        <w:t>Las normas que aplican a los suministros, instalaciones, montajes, operación y mantenimiento de grupos electrógenos, centrales eléctricas y/o sus sistemas asociados son las siguientes:</w:t>
      </w:r>
    </w:p>
    <w:p w14:paraId="7F39E238" w14:textId="77777777" w:rsidR="007462F0" w:rsidRPr="008621BF" w:rsidRDefault="009A2A4C">
      <w:pPr>
        <w:widowControl w:val="0"/>
        <w:numPr>
          <w:ilvl w:val="0"/>
          <w:numId w:val="2"/>
        </w:numPr>
        <w:pBdr>
          <w:top w:val="nil"/>
          <w:left w:val="nil"/>
          <w:bottom w:val="nil"/>
          <w:right w:val="nil"/>
          <w:between w:val="nil"/>
        </w:pBdr>
        <w:spacing w:before="139" w:after="0"/>
        <w:ind w:left="714" w:hanging="357"/>
        <w:jc w:val="both"/>
        <w:rPr>
          <w:rFonts w:ascii="Gadugi" w:eastAsia="Gadugi" w:hAnsi="Gadugi" w:cs="Gadugi"/>
          <w:color w:val="000000"/>
        </w:rPr>
      </w:pPr>
      <w:r w:rsidRPr="008621BF">
        <w:rPr>
          <w:rFonts w:ascii="Gadugi" w:eastAsia="Gadugi" w:hAnsi="Gadugi" w:cs="Gadugi"/>
          <w:b/>
          <w:color w:val="000000"/>
        </w:rPr>
        <w:t>NFPA 110</w:t>
      </w:r>
      <w:r w:rsidRPr="008621BF">
        <w:rPr>
          <w:rFonts w:ascii="Gadugi" w:eastAsia="Gadugi" w:hAnsi="Gadugi" w:cs="Gadugi"/>
          <w:color w:val="000000"/>
        </w:rPr>
        <w:t xml:space="preserve"> "Standard </w:t>
      </w:r>
      <w:proofErr w:type="spellStart"/>
      <w:r w:rsidRPr="008621BF">
        <w:rPr>
          <w:rFonts w:ascii="Gadugi" w:eastAsia="Gadugi" w:hAnsi="Gadugi" w:cs="Gadugi"/>
          <w:color w:val="000000"/>
        </w:rPr>
        <w:t>for</w:t>
      </w:r>
      <w:proofErr w:type="spellEnd"/>
      <w:r w:rsidRPr="008621BF">
        <w:rPr>
          <w:rFonts w:ascii="Gadugi" w:eastAsia="Gadugi" w:hAnsi="Gadugi" w:cs="Gadugi"/>
          <w:color w:val="000000"/>
        </w:rPr>
        <w:t xml:space="preserve"> </w:t>
      </w:r>
      <w:proofErr w:type="spellStart"/>
      <w:r w:rsidRPr="008621BF">
        <w:rPr>
          <w:rFonts w:ascii="Gadugi" w:eastAsia="Gadugi" w:hAnsi="Gadugi" w:cs="Gadugi"/>
          <w:color w:val="000000"/>
        </w:rPr>
        <w:t>emergency</w:t>
      </w:r>
      <w:proofErr w:type="spellEnd"/>
      <w:r w:rsidRPr="008621BF">
        <w:rPr>
          <w:rFonts w:ascii="Gadugi" w:eastAsia="Gadugi" w:hAnsi="Gadugi" w:cs="Gadugi"/>
          <w:color w:val="000000"/>
        </w:rPr>
        <w:t xml:space="preserve"> and </w:t>
      </w:r>
      <w:proofErr w:type="spellStart"/>
      <w:r w:rsidRPr="008621BF">
        <w:rPr>
          <w:rFonts w:ascii="Gadugi" w:eastAsia="Gadugi" w:hAnsi="Gadugi" w:cs="Gadugi"/>
          <w:color w:val="000000"/>
        </w:rPr>
        <w:t>Standby</w:t>
      </w:r>
      <w:proofErr w:type="spellEnd"/>
      <w:r w:rsidRPr="008621BF">
        <w:rPr>
          <w:rFonts w:ascii="Gadugi" w:eastAsia="Gadugi" w:hAnsi="Gadugi" w:cs="Gadugi"/>
          <w:color w:val="000000"/>
        </w:rPr>
        <w:t xml:space="preserve"> </w:t>
      </w:r>
      <w:proofErr w:type="spellStart"/>
      <w:r w:rsidRPr="008621BF">
        <w:rPr>
          <w:rFonts w:ascii="Gadugi" w:eastAsia="Gadugi" w:hAnsi="Gadugi" w:cs="Gadugi"/>
          <w:color w:val="000000"/>
        </w:rPr>
        <w:t>Power</w:t>
      </w:r>
      <w:proofErr w:type="spellEnd"/>
      <w:r w:rsidRPr="008621BF">
        <w:rPr>
          <w:rFonts w:ascii="Gadugi" w:eastAsia="Gadugi" w:hAnsi="Gadugi" w:cs="Gadugi"/>
          <w:color w:val="000000"/>
        </w:rPr>
        <w:t xml:space="preserve"> </w:t>
      </w:r>
      <w:proofErr w:type="spellStart"/>
      <w:r w:rsidRPr="008621BF">
        <w:rPr>
          <w:rFonts w:ascii="Gadugi" w:eastAsia="Gadugi" w:hAnsi="Gadugi" w:cs="Gadugi"/>
          <w:color w:val="000000"/>
        </w:rPr>
        <w:t>Systems</w:t>
      </w:r>
      <w:proofErr w:type="spellEnd"/>
      <w:r w:rsidRPr="008621BF">
        <w:rPr>
          <w:rFonts w:ascii="Gadugi" w:eastAsia="Gadugi" w:hAnsi="Gadugi" w:cs="Gadugi"/>
          <w:color w:val="000000"/>
        </w:rPr>
        <w:t>", Normas para Sistemas de Respaldo de Energía Eléctrica de Emergencia y Operativa (de obligatoria aplicación en muchos países).</w:t>
      </w:r>
    </w:p>
    <w:p w14:paraId="6AA86F8F" w14:textId="77777777" w:rsidR="007462F0" w:rsidRPr="008621BF" w:rsidRDefault="009A2A4C">
      <w:pPr>
        <w:widowControl w:val="0"/>
        <w:numPr>
          <w:ilvl w:val="0"/>
          <w:numId w:val="2"/>
        </w:numPr>
        <w:pBdr>
          <w:top w:val="nil"/>
          <w:left w:val="nil"/>
          <w:bottom w:val="nil"/>
          <w:right w:val="nil"/>
          <w:between w:val="nil"/>
        </w:pBdr>
        <w:spacing w:before="139" w:after="0"/>
        <w:ind w:left="714" w:hanging="357"/>
        <w:jc w:val="both"/>
        <w:rPr>
          <w:rFonts w:ascii="Gadugi" w:eastAsia="Gadugi" w:hAnsi="Gadugi" w:cs="Gadugi"/>
          <w:color w:val="000000"/>
        </w:rPr>
      </w:pPr>
      <w:r w:rsidRPr="008621BF">
        <w:rPr>
          <w:rFonts w:ascii="Gadugi" w:eastAsia="Gadugi" w:hAnsi="Gadugi" w:cs="Gadugi"/>
          <w:b/>
          <w:color w:val="000000"/>
        </w:rPr>
        <w:t>NFPA 37</w:t>
      </w:r>
      <w:r w:rsidRPr="008621BF">
        <w:rPr>
          <w:rFonts w:ascii="Gadugi" w:eastAsia="Gadugi" w:hAnsi="Gadugi" w:cs="Gadugi"/>
          <w:color w:val="000000"/>
        </w:rPr>
        <w:t xml:space="preserve"> "Standard </w:t>
      </w:r>
      <w:proofErr w:type="spellStart"/>
      <w:r w:rsidRPr="008621BF">
        <w:rPr>
          <w:rFonts w:ascii="Gadugi" w:eastAsia="Gadugi" w:hAnsi="Gadugi" w:cs="Gadugi"/>
          <w:color w:val="000000"/>
        </w:rPr>
        <w:t>for</w:t>
      </w:r>
      <w:proofErr w:type="spellEnd"/>
      <w:r w:rsidRPr="008621BF">
        <w:rPr>
          <w:rFonts w:ascii="Gadugi" w:eastAsia="Gadugi" w:hAnsi="Gadugi" w:cs="Gadugi"/>
          <w:color w:val="000000"/>
        </w:rPr>
        <w:t xml:space="preserve"> </w:t>
      </w:r>
      <w:proofErr w:type="spellStart"/>
      <w:r w:rsidRPr="008621BF">
        <w:rPr>
          <w:rFonts w:ascii="Gadugi" w:eastAsia="Gadugi" w:hAnsi="Gadugi" w:cs="Gadugi"/>
          <w:color w:val="000000"/>
        </w:rPr>
        <w:t>Installation</w:t>
      </w:r>
      <w:proofErr w:type="spellEnd"/>
      <w:r w:rsidRPr="008621BF">
        <w:rPr>
          <w:rFonts w:ascii="Gadugi" w:eastAsia="Gadugi" w:hAnsi="Gadugi" w:cs="Gadugi"/>
          <w:color w:val="000000"/>
        </w:rPr>
        <w:t xml:space="preserve"> and Use </w:t>
      </w:r>
      <w:proofErr w:type="spellStart"/>
      <w:r w:rsidRPr="008621BF">
        <w:rPr>
          <w:rFonts w:ascii="Gadugi" w:eastAsia="Gadugi" w:hAnsi="Gadugi" w:cs="Gadugi"/>
          <w:color w:val="000000"/>
        </w:rPr>
        <w:t>of</w:t>
      </w:r>
      <w:proofErr w:type="spellEnd"/>
      <w:r w:rsidRPr="008621BF">
        <w:rPr>
          <w:rFonts w:ascii="Gadugi" w:eastAsia="Gadugi" w:hAnsi="Gadugi" w:cs="Gadugi"/>
          <w:color w:val="000000"/>
        </w:rPr>
        <w:t xml:space="preserve"> </w:t>
      </w:r>
      <w:proofErr w:type="spellStart"/>
      <w:r w:rsidRPr="008621BF">
        <w:rPr>
          <w:rFonts w:ascii="Gadugi" w:eastAsia="Gadugi" w:hAnsi="Gadugi" w:cs="Gadugi"/>
          <w:color w:val="000000"/>
        </w:rPr>
        <w:t>Stationary</w:t>
      </w:r>
      <w:proofErr w:type="spellEnd"/>
      <w:r w:rsidRPr="008621BF">
        <w:rPr>
          <w:rFonts w:ascii="Gadugi" w:eastAsia="Gadugi" w:hAnsi="Gadugi" w:cs="Gadugi"/>
          <w:color w:val="000000"/>
        </w:rPr>
        <w:t xml:space="preserve"> Combustión </w:t>
      </w:r>
      <w:proofErr w:type="spellStart"/>
      <w:r w:rsidRPr="008621BF">
        <w:rPr>
          <w:rFonts w:ascii="Gadugi" w:eastAsia="Gadugi" w:hAnsi="Gadugi" w:cs="Gadugi"/>
          <w:color w:val="000000"/>
        </w:rPr>
        <w:t>Engines</w:t>
      </w:r>
      <w:proofErr w:type="spellEnd"/>
      <w:r w:rsidRPr="008621BF">
        <w:rPr>
          <w:rFonts w:ascii="Gadugi" w:eastAsia="Gadugi" w:hAnsi="Gadugi" w:cs="Gadugi"/>
          <w:color w:val="000000"/>
        </w:rPr>
        <w:t xml:space="preserve"> and Gas Turbines", Normas para la Instalación y Uso de Motores Estacionarios de Combustión Interna y Turbinas de Gas. </w:t>
      </w:r>
    </w:p>
    <w:p w14:paraId="5ACCAC78" w14:textId="77777777" w:rsidR="007462F0" w:rsidRPr="008621BF" w:rsidRDefault="009A2A4C">
      <w:pPr>
        <w:widowControl w:val="0"/>
        <w:numPr>
          <w:ilvl w:val="0"/>
          <w:numId w:val="2"/>
        </w:numPr>
        <w:pBdr>
          <w:top w:val="nil"/>
          <w:left w:val="nil"/>
          <w:bottom w:val="nil"/>
          <w:right w:val="nil"/>
          <w:between w:val="nil"/>
        </w:pBdr>
        <w:spacing w:before="139" w:after="0"/>
        <w:ind w:left="714" w:hanging="357"/>
        <w:jc w:val="both"/>
        <w:rPr>
          <w:rFonts w:ascii="Gadugi" w:eastAsia="Gadugi" w:hAnsi="Gadugi" w:cs="Gadugi"/>
          <w:color w:val="000000"/>
        </w:rPr>
      </w:pPr>
      <w:r w:rsidRPr="008621BF">
        <w:rPr>
          <w:rFonts w:ascii="Gadugi" w:eastAsia="Gadugi" w:hAnsi="Gadugi" w:cs="Gadugi"/>
          <w:b/>
          <w:color w:val="000000"/>
        </w:rPr>
        <w:t>NFPA 70</w:t>
      </w:r>
      <w:r w:rsidRPr="008621BF">
        <w:rPr>
          <w:rFonts w:ascii="Gadugi" w:eastAsia="Gadugi" w:hAnsi="Gadugi" w:cs="Gadugi"/>
          <w:color w:val="000000"/>
        </w:rPr>
        <w:t xml:space="preserve"> "National Electric </w:t>
      </w:r>
      <w:proofErr w:type="spellStart"/>
      <w:r w:rsidRPr="008621BF">
        <w:rPr>
          <w:rFonts w:ascii="Gadugi" w:eastAsia="Gadugi" w:hAnsi="Gadugi" w:cs="Gadugi"/>
          <w:color w:val="000000"/>
        </w:rPr>
        <w:t>Code</w:t>
      </w:r>
      <w:proofErr w:type="spellEnd"/>
      <w:r w:rsidRPr="008621BF">
        <w:rPr>
          <w:rFonts w:ascii="Gadugi" w:eastAsia="Gadugi" w:hAnsi="Gadugi" w:cs="Gadugi"/>
          <w:color w:val="000000"/>
        </w:rPr>
        <w:t xml:space="preserve">", Código Eléctrico Nacional USA para Instalaciones Eléctricas, equivalente en Colombia a la Norma NTC  2050 Código Eléctrico Nacional (de obligatoria aplicación en muchos países). </w:t>
      </w:r>
    </w:p>
    <w:p w14:paraId="79016A88" w14:textId="77777777" w:rsidR="007462F0" w:rsidRPr="008621BF" w:rsidRDefault="009A2A4C">
      <w:pPr>
        <w:widowControl w:val="0"/>
        <w:numPr>
          <w:ilvl w:val="0"/>
          <w:numId w:val="2"/>
        </w:numPr>
        <w:pBdr>
          <w:top w:val="nil"/>
          <w:left w:val="nil"/>
          <w:bottom w:val="nil"/>
          <w:right w:val="nil"/>
          <w:between w:val="nil"/>
        </w:pBdr>
        <w:spacing w:before="139" w:after="0"/>
        <w:ind w:left="714" w:hanging="357"/>
        <w:jc w:val="both"/>
        <w:rPr>
          <w:rFonts w:ascii="Gadugi" w:eastAsia="Gadugi" w:hAnsi="Gadugi" w:cs="Gadugi"/>
          <w:color w:val="000000"/>
        </w:rPr>
      </w:pPr>
      <w:r w:rsidRPr="008621BF">
        <w:rPr>
          <w:rFonts w:ascii="Gadugi" w:eastAsia="Gadugi" w:hAnsi="Gadugi" w:cs="Gadugi"/>
          <w:b/>
          <w:color w:val="000000"/>
        </w:rPr>
        <w:t>NFPA 30</w:t>
      </w:r>
      <w:r w:rsidRPr="008621BF">
        <w:rPr>
          <w:rFonts w:ascii="Gadugi" w:eastAsia="Gadugi" w:hAnsi="Gadugi" w:cs="Gadugi"/>
          <w:color w:val="000000"/>
        </w:rPr>
        <w:t xml:space="preserve"> "Código de Líquidos Inflamables y Combustibles" (de obligatoria aplicación en muchos países).  </w:t>
      </w:r>
    </w:p>
    <w:p w14:paraId="0BF2017A" w14:textId="77777777" w:rsidR="007462F0" w:rsidRDefault="007462F0">
      <w:pPr>
        <w:jc w:val="both"/>
        <w:rPr>
          <w:rFonts w:ascii="Gadugi" w:eastAsia="Gadugi" w:hAnsi="Gadugi" w:cs="Gadugi"/>
          <w:color w:val="000000"/>
        </w:rPr>
      </w:pPr>
    </w:p>
    <w:p w14:paraId="5E2F5E90" w14:textId="260F0889" w:rsidR="007462F0" w:rsidRDefault="009A2A4C">
      <w:pPr>
        <w:pStyle w:val="Ttulo1"/>
        <w:numPr>
          <w:ilvl w:val="0"/>
          <w:numId w:val="12"/>
        </w:numPr>
        <w:spacing w:after="240" w:line="259" w:lineRule="auto"/>
        <w:ind w:left="357" w:hanging="357"/>
        <w:rPr>
          <w:rFonts w:ascii="Gadugi" w:eastAsia="Gadugi" w:hAnsi="Gadugi" w:cs="Gadugi"/>
          <w:b/>
          <w:color w:val="4472C4"/>
          <w:sz w:val="22"/>
          <w:szCs w:val="22"/>
          <w:u w:val="none"/>
        </w:rPr>
      </w:pPr>
      <w:bookmarkStart w:id="9" w:name="_Toc188539074"/>
      <w:r>
        <w:rPr>
          <w:rFonts w:ascii="Gadugi" w:eastAsia="Gadugi" w:hAnsi="Gadugi" w:cs="Gadugi"/>
          <w:b/>
          <w:color w:val="4472C4"/>
          <w:sz w:val="22"/>
          <w:szCs w:val="22"/>
          <w:u w:val="none"/>
        </w:rPr>
        <w:t>DISEÑO Y CALCULO DE LAS INSTALACIONES</w:t>
      </w:r>
      <w:bookmarkEnd w:id="9"/>
    </w:p>
    <w:p w14:paraId="5A4BB1D2" w14:textId="77777777" w:rsidR="007462F0" w:rsidRDefault="009A2A4C">
      <w:pPr>
        <w:jc w:val="both"/>
        <w:rPr>
          <w:rFonts w:ascii="Gadugi" w:eastAsia="Gadugi" w:hAnsi="Gadugi" w:cs="Gadugi"/>
          <w:color w:val="000000"/>
        </w:rPr>
      </w:pPr>
      <w:r>
        <w:rPr>
          <w:rFonts w:ascii="Gadugi" w:eastAsia="Gadugi" w:hAnsi="Gadugi" w:cs="Gadugi"/>
          <w:color w:val="000000"/>
        </w:rPr>
        <w:t>Estadísticamente está comprobado que el porcentaje de confiabilidad de un sistema complejo, como lo puede ser una Central Eléctrica de Generación de Respaldo o Generación Continua, nunca será mayor que la confiabilidad que tenga individualmente cualquiera de sus componentes. Por lo que, si usamos Grupos Electrógenos de calidad comprobada, así como Tableros Eléctricos certificados y no realizamos las instalaciones con las normas y pautas adecuadas, el resultado final de la confiabilidad integral del sistema será bajo. Por esta razón, tan importante como la calidad y certificación de los componentes de una Central Eléctrica está la calidad de sus instalaciones.</w:t>
      </w:r>
    </w:p>
    <w:p w14:paraId="24F1BAA1" w14:textId="77777777" w:rsidR="007462F0" w:rsidRDefault="007462F0">
      <w:pPr>
        <w:jc w:val="both"/>
        <w:rPr>
          <w:rFonts w:ascii="Gadugi" w:eastAsia="Gadugi" w:hAnsi="Gadugi" w:cs="Gadugi"/>
          <w:color w:val="000000"/>
        </w:rPr>
      </w:pPr>
    </w:p>
    <w:p w14:paraId="57C996BE" w14:textId="77777777" w:rsidR="00D211AC" w:rsidRDefault="009A2A4C" w:rsidP="00D211AC">
      <w:pPr>
        <w:keepNext/>
        <w:jc w:val="center"/>
      </w:pPr>
      <w:r>
        <w:rPr>
          <w:noProof/>
        </w:rPr>
        <w:lastRenderedPageBreak/>
        <w:drawing>
          <wp:inline distT="0" distB="0" distL="0" distR="0" wp14:anchorId="7434FAD8" wp14:editId="10A0B9FE">
            <wp:extent cx="5054600" cy="3683000"/>
            <wp:effectExtent l="0" t="0" r="0" b="0"/>
            <wp:docPr id="2110191442" name="image7.jpg" descr="C:\Users\estef\OneDrive\Escritorio\PARTES+DE+UN+GRUPO+ELECTRÓGENO.jpg"/>
            <wp:cNvGraphicFramePr/>
            <a:graphic xmlns:a="http://schemas.openxmlformats.org/drawingml/2006/main">
              <a:graphicData uri="http://schemas.openxmlformats.org/drawingml/2006/picture">
                <pic:pic xmlns:pic="http://schemas.openxmlformats.org/drawingml/2006/picture">
                  <pic:nvPicPr>
                    <pic:cNvPr id="0" name="image7.jpg" descr="C:\Users\estef\OneDrive\Escritorio\PARTES+DE+UN+GRUPO+ELECTRÓGENO.jpg"/>
                    <pic:cNvPicPr preferRelativeResize="0"/>
                  </pic:nvPicPr>
                  <pic:blipFill>
                    <a:blip r:embed="rId18"/>
                    <a:srcRect/>
                    <a:stretch>
                      <a:fillRect/>
                    </a:stretch>
                  </pic:blipFill>
                  <pic:spPr>
                    <a:xfrm>
                      <a:off x="0" y="0"/>
                      <a:ext cx="5055161" cy="3683409"/>
                    </a:xfrm>
                    <a:prstGeom prst="rect">
                      <a:avLst/>
                    </a:prstGeom>
                    <a:ln/>
                  </pic:spPr>
                </pic:pic>
              </a:graphicData>
            </a:graphic>
          </wp:inline>
        </w:drawing>
      </w:r>
    </w:p>
    <w:p w14:paraId="2F96A8A9" w14:textId="19B4BD8F" w:rsidR="007462F0" w:rsidRPr="00D211AC" w:rsidRDefault="00D211AC" w:rsidP="00D211AC">
      <w:pPr>
        <w:pStyle w:val="Descripcin"/>
        <w:jc w:val="center"/>
      </w:pPr>
      <w:bookmarkStart w:id="10" w:name="_Toc176420568"/>
      <w:r>
        <w:t xml:space="preserve">Figura </w:t>
      </w:r>
      <w:r>
        <w:fldChar w:fldCharType="begin"/>
      </w:r>
      <w:r>
        <w:instrText xml:space="preserve"> SEQ Figura \* ARABIC </w:instrText>
      </w:r>
      <w:r>
        <w:fldChar w:fldCharType="separate"/>
      </w:r>
      <w:r w:rsidR="0047714C">
        <w:rPr>
          <w:noProof/>
        </w:rPr>
        <w:t>1</w:t>
      </w:r>
      <w:r>
        <w:fldChar w:fldCharType="end"/>
      </w:r>
      <w:r>
        <w:t xml:space="preserve">. </w:t>
      </w:r>
      <w:r w:rsidR="009A2A4C">
        <w:rPr>
          <w:rFonts w:eastAsia="Arial" w:cs="Arial"/>
          <w:color w:val="000000"/>
          <w:szCs w:val="16"/>
        </w:rPr>
        <w:t>Central eléctrica de respaldo y sus sistemas asociados</w:t>
      </w:r>
      <w:bookmarkEnd w:id="10"/>
    </w:p>
    <w:p w14:paraId="41D119A9" w14:textId="77777777" w:rsidR="007462F0" w:rsidRDefault="007462F0">
      <w:pPr>
        <w:jc w:val="both"/>
        <w:rPr>
          <w:rFonts w:ascii="Gadugi" w:eastAsia="Gadugi" w:hAnsi="Gadugi" w:cs="Gadugi"/>
          <w:color w:val="000000"/>
        </w:rPr>
      </w:pPr>
    </w:p>
    <w:p w14:paraId="0DD24010" w14:textId="29C74424" w:rsidR="007462F0" w:rsidRDefault="009A2A4C">
      <w:pPr>
        <w:pStyle w:val="Ttulo2"/>
        <w:spacing w:after="120"/>
        <w:ind w:left="720" w:hanging="720"/>
        <w:rPr>
          <w:rFonts w:ascii="Gadugi" w:eastAsia="Gadugi" w:hAnsi="Gadugi" w:cs="Gadugi"/>
          <w:color w:val="4472C4"/>
          <w:sz w:val="22"/>
          <w:szCs w:val="22"/>
        </w:rPr>
      </w:pPr>
      <w:bookmarkStart w:id="11" w:name="_Toc188539075"/>
      <w:r>
        <w:rPr>
          <w:rFonts w:ascii="Gadugi" w:eastAsia="Gadugi" w:hAnsi="Gadugi" w:cs="Gadugi"/>
          <w:color w:val="4472C4"/>
          <w:sz w:val="22"/>
          <w:szCs w:val="22"/>
        </w:rPr>
        <w:t>3.1.</w:t>
      </w:r>
      <w:r>
        <w:rPr>
          <w:rFonts w:ascii="Gadugi" w:eastAsia="Gadugi" w:hAnsi="Gadugi" w:cs="Gadugi"/>
          <w:color w:val="4472C4"/>
          <w:sz w:val="22"/>
          <w:szCs w:val="22"/>
        </w:rPr>
        <w:tab/>
        <w:t>PREMISAS IMPORTANTES PARA EL DISEÑO Y CALCULO DE LAS INSTALACIONES</w:t>
      </w:r>
      <w:bookmarkEnd w:id="11"/>
    </w:p>
    <w:p w14:paraId="55F06D38" w14:textId="77777777" w:rsidR="007462F0" w:rsidRDefault="009A2A4C">
      <w:pPr>
        <w:jc w:val="both"/>
        <w:rPr>
          <w:rFonts w:ascii="Gadugi" w:eastAsia="Gadugi" w:hAnsi="Gadugi" w:cs="Gadugi"/>
          <w:color w:val="000000"/>
        </w:rPr>
      </w:pPr>
      <w:r>
        <w:rPr>
          <w:rFonts w:ascii="Gadugi" w:eastAsia="Gadugi" w:hAnsi="Gadugi" w:cs="Gadugi"/>
          <w:color w:val="000000"/>
        </w:rPr>
        <w:t xml:space="preserve">Por muy pequeña que sea la potencia del grupo electrógeno, para su instalación y montaje se deben considerar las normas vigentes de  ingeniería eléctrica, electrónica, mecánica y civil, por lo que será necesario en todo caso y sin excepción la elaboración de un proyecto de ingeniería básica y de detalle que contemple: planificación de la ubicación, facilidades para el transporte y la puesta en sitio, diseño y cálculo de obras civiles (caseta de protección, si aplicase), diseño y cálculo de instalaciones eléctricas, sistemas de control y de puesta a tierra, diseño y cálculo de instalaciones mecánicas para el manejo del aire de enfriamiento, disposición de los gases de escape y manejo de combustible. </w:t>
      </w:r>
    </w:p>
    <w:p w14:paraId="039ADB28" w14:textId="77777777" w:rsidR="007462F0" w:rsidRDefault="009A2A4C">
      <w:pPr>
        <w:jc w:val="both"/>
        <w:rPr>
          <w:rFonts w:ascii="Gadugi" w:eastAsia="Gadugi" w:hAnsi="Gadugi" w:cs="Gadugi"/>
          <w:color w:val="000000"/>
        </w:rPr>
      </w:pPr>
      <w:r>
        <w:rPr>
          <w:rFonts w:ascii="Gadugi" w:eastAsia="Gadugi" w:hAnsi="Gadugi" w:cs="Gadugi"/>
          <w:color w:val="000000"/>
        </w:rPr>
        <w:t xml:space="preserve">El desarrollo del proyecto deberá ser por personal profesional de la ingeniería, competente, legalmente habilitado y con experiencia en las diferentes disciplinas a aplicar, dichos </w:t>
      </w:r>
      <w:r>
        <w:rPr>
          <w:rFonts w:ascii="Gadugi" w:eastAsia="Gadugi" w:hAnsi="Gadugi" w:cs="Gadugi"/>
          <w:color w:val="000000"/>
        </w:rPr>
        <w:lastRenderedPageBreak/>
        <w:t>requisitos serán la clave para que el diseño y cálculo de las instalaciones puedan cumplir con las expectativas del sistema.</w:t>
      </w:r>
    </w:p>
    <w:p w14:paraId="66D650E4" w14:textId="77777777" w:rsidR="007462F0" w:rsidRDefault="007462F0">
      <w:pPr>
        <w:jc w:val="both"/>
        <w:rPr>
          <w:rFonts w:ascii="Gadugi" w:eastAsia="Gadugi" w:hAnsi="Gadugi" w:cs="Gadugi"/>
          <w:color w:val="000000"/>
        </w:rPr>
      </w:pPr>
    </w:p>
    <w:p w14:paraId="46EA1FFB" w14:textId="49F55257" w:rsidR="007462F0" w:rsidRDefault="009A2A4C">
      <w:pPr>
        <w:pStyle w:val="Ttulo2"/>
        <w:spacing w:after="120"/>
        <w:ind w:left="720" w:hanging="720"/>
        <w:rPr>
          <w:rFonts w:ascii="Gadugi" w:eastAsia="Gadugi" w:hAnsi="Gadugi" w:cs="Gadugi"/>
          <w:color w:val="4472C4"/>
          <w:sz w:val="22"/>
          <w:szCs w:val="22"/>
        </w:rPr>
      </w:pPr>
      <w:bookmarkStart w:id="12" w:name="_Toc188539076"/>
      <w:r>
        <w:rPr>
          <w:rFonts w:ascii="Gadugi" w:eastAsia="Gadugi" w:hAnsi="Gadugi" w:cs="Gadugi"/>
          <w:color w:val="4472C4"/>
          <w:sz w:val="22"/>
          <w:szCs w:val="22"/>
        </w:rPr>
        <w:t>3.2.</w:t>
      </w:r>
      <w:r>
        <w:rPr>
          <w:rFonts w:ascii="Gadugi" w:eastAsia="Gadugi" w:hAnsi="Gadugi" w:cs="Gadugi"/>
          <w:color w:val="4472C4"/>
          <w:sz w:val="22"/>
          <w:szCs w:val="22"/>
        </w:rPr>
        <w:tab/>
        <w:t>FACTORES PARA EL DISEÑO DE UNA CENTRAL ELECTRICA</w:t>
      </w:r>
      <w:bookmarkEnd w:id="12"/>
    </w:p>
    <w:p w14:paraId="1ED9C244" w14:textId="77777777" w:rsidR="007462F0" w:rsidRDefault="009A2A4C">
      <w:pPr>
        <w:jc w:val="both"/>
        <w:rPr>
          <w:rFonts w:ascii="Gadugi" w:eastAsia="Gadugi" w:hAnsi="Gadugi" w:cs="Gadugi"/>
          <w:color w:val="000000"/>
        </w:rPr>
      </w:pPr>
      <w:r>
        <w:rPr>
          <w:rFonts w:ascii="Gadugi" w:eastAsia="Gadugi" w:hAnsi="Gadugi" w:cs="Gadugi"/>
          <w:color w:val="000000"/>
        </w:rPr>
        <w:t>Los factores más importantes que deberán tomarse para el diseño de una central eléctrica de generación de electricidad son: el tipo de aplicación, la ubicación, el suministro de combustible, la distancia de los centros de distribución de potencia y el impacto sobre la contaminación ambiental.</w:t>
      </w:r>
    </w:p>
    <w:p w14:paraId="22FE7BA1" w14:textId="77777777" w:rsidR="007462F0" w:rsidRDefault="007462F0">
      <w:pPr>
        <w:jc w:val="both"/>
        <w:rPr>
          <w:rFonts w:ascii="Gadugi" w:eastAsia="Gadugi" w:hAnsi="Gadugi" w:cs="Gadugi"/>
          <w:color w:val="000000"/>
        </w:rPr>
      </w:pPr>
    </w:p>
    <w:p w14:paraId="17D9898F" w14:textId="6364ACD8" w:rsidR="007462F0" w:rsidRDefault="009A2A4C">
      <w:pPr>
        <w:pStyle w:val="Ttulo2"/>
        <w:spacing w:after="120"/>
        <w:ind w:left="720" w:hanging="720"/>
        <w:rPr>
          <w:rFonts w:ascii="Gadugi" w:eastAsia="Gadugi" w:hAnsi="Gadugi" w:cs="Gadugi"/>
          <w:color w:val="4472C4"/>
          <w:sz w:val="22"/>
          <w:szCs w:val="22"/>
        </w:rPr>
      </w:pPr>
      <w:bookmarkStart w:id="13" w:name="_Toc188539077"/>
      <w:r>
        <w:rPr>
          <w:rFonts w:ascii="Gadugi" w:eastAsia="Gadugi" w:hAnsi="Gadugi" w:cs="Gadugi"/>
          <w:color w:val="4472C4"/>
          <w:sz w:val="22"/>
          <w:szCs w:val="22"/>
        </w:rPr>
        <w:t>3.3.</w:t>
      </w:r>
      <w:r>
        <w:rPr>
          <w:rFonts w:ascii="Gadugi" w:eastAsia="Gadugi" w:hAnsi="Gadugi" w:cs="Gadugi"/>
          <w:color w:val="4472C4"/>
          <w:sz w:val="22"/>
          <w:szCs w:val="22"/>
        </w:rPr>
        <w:tab/>
        <w:t>TIPO DE APLICACIÓN</w:t>
      </w:r>
      <w:bookmarkEnd w:id="13"/>
    </w:p>
    <w:p w14:paraId="0F7F0406" w14:textId="77777777" w:rsidR="007462F0" w:rsidRDefault="009A2A4C">
      <w:pPr>
        <w:jc w:val="both"/>
        <w:rPr>
          <w:rFonts w:ascii="Gadugi" w:eastAsia="Gadugi" w:hAnsi="Gadugi" w:cs="Gadugi"/>
          <w:color w:val="000000"/>
        </w:rPr>
      </w:pPr>
      <w:r>
        <w:rPr>
          <w:rFonts w:ascii="Gadugi" w:eastAsia="Gadugi" w:hAnsi="Gadugi" w:cs="Gadugi"/>
          <w:color w:val="000000"/>
        </w:rPr>
        <w:t>El tipo de aplicación será el principal factor para el diseño y la selección de componentes de la Central Eléctrica y su disposición, en especial los Grupos Electrógenos deberán ser seleccionados de acuerdo con el tipo de régimen de aplicación, por lo que se deberán tomar en cuenta los siguientes factores:</w:t>
      </w:r>
    </w:p>
    <w:p w14:paraId="638E5444" w14:textId="77777777" w:rsidR="007462F0" w:rsidRPr="004D1D36" w:rsidRDefault="009A2A4C">
      <w:pPr>
        <w:widowControl w:val="0"/>
        <w:numPr>
          <w:ilvl w:val="0"/>
          <w:numId w:val="3"/>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Para aplicación en régimen de operación continua con cargas no constantes (picos de demanda eléctrica), los Grupos Electrógenos "' deberán ser del tipo de funcionamiento primario. Este tipo de Grupo Electrógeno admite sobrecargas referentes a su potencia nominal de placa, permitiendo que los picos de demanda que sobrepasen la potencia nominal no causen perturbaciones en la estabilidad de la Central Eléctrica. En este tipo de sistema se deberá prever que el mismo puede operar con por lo menos un Grupo Electrógeno indisponible (N-1). El diseño amerita mayor dedicación hacia la capacidad estructural del edificio que soportará y/o contendrá los componentes de la Central Eléctrica, igualmente ameritará un mejor estudio sobre capacidad de manejo de aire para el enfriamiento, mejor disposición de los gases de combustión y el cumplimiento estricto de Normas sobre contaminación ambiental, así como de manejo y almacenaje de combustible.</w:t>
      </w:r>
    </w:p>
    <w:p w14:paraId="6643A3D2" w14:textId="77777777" w:rsidR="007462F0" w:rsidRPr="004D1D36" w:rsidRDefault="009A2A4C">
      <w:pPr>
        <w:widowControl w:val="0"/>
        <w:numPr>
          <w:ilvl w:val="0"/>
          <w:numId w:val="3"/>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 xml:space="preserve">Para aplicación en régimen de operación continua con cargas constantes, los Grupos Electrógenos deberán ser del tipo de funcionamiento continuo. Este tipo de Grupo Electrógeno no admite sobrecargas referentes a su potencia nominal de placa por lo que su cálculo deberá contemplar el uso de otros Grupos Electrógenos para suplir picos de demanda en caso de aplicarse. Por el tipo de confiabilidad exigido a este </w:t>
      </w:r>
      <w:r w:rsidRPr="004D1D36">
        <w:rPr>
          <w:rFonts w:ascii="Gadugi" w:eastAsia="Gadugi" w:hAnsi="Gadugi" w:cs="Gadugi"/>
          <w:color w:val="000000"/>
        </w:rPr>
        <w:lastRenderedPageBreak/>
        <w:t>sistema, se deberá prever que el mismo puede operar con por lo menos dos (2) Grupos Electrógenos indisponibles (N-2). Igualmente, el diseño amerita mayor dedicación hacia la capacidad estructural del edificio que soportará y/o contendrá los componentes de la Central Eléctrica, igualmente ameritará un mejor estudio sobre capacidad de manejo de aire para el enfriamiento, mejor disposición de los gases de combustión y el cumplimiento estricto de Normas sobre contaminación ambiental (Ruido, Calor y Polución), así como de manejo y almacenaje de combustible.</w:t>
      </w:r>
    </w:p>
    <w:p w14:paraId="67EE8FF5" w14:textId="77777777" w:rsidR="007462F0" w:rsidRDefault="007462F0">
      <w:pPr>
        <w:jc w:val="both"/>
        <w:rPr>
          <w:rFonts w:ascii="Gadugi" w:eastAsia="Gadugi" w:hAnsi="Gadugi" w:cs="Gadugi"/>
          <w:color w:val="000000"/>
        </w:rPr>
      </w:pPr>
    </w:p>
    <w:p w14:paraId="461595E7" w14:textId="77777777" w:rsidR="007462F0" w:rsidRDefault="009A2A4C">
      <w:pPr>
        <w:pStyle w:val="Ttulo2"/>
        <w:spacing w:after="120"/>
        <w:ind w:left="720" w:hanging="720"/>
        <w:rPr>
          <w:rFonts w:ascii="Gadugi" w:eastAsia="Gadugi" w:hAnsi="Gadugi" w:cs="Gadugi"/>
          <w:color w:val="4472C4"/>
          <w:sz w:val="22"/>
          <w:szCs w:val="22"/>
        </w:rPr>
      </w:pPr>
      <w:bookmarkStart w:id="14" w:name="_Toc188539078"/>
      <w:r>
        <w:rPr>
          <w:rFonts w:ascii="Gadugi" w:eastAsia="Gadugi" w:hAnsi="Gadugi" w:cs="Gadugi"/>
          <w:color w:val="4472C4"/>
          <w:sz w:val="22"/>
          <w:szCs w:val="22"/>
        </w:rPr>
        <w:t>3.4.</w:t>
      </w:r>
      <w:r>
        <w:rPr>
          <w:rFonts w:ascii="Gadugi" w:eastAsia="Gadugi" w:hAnsi="Gadugi" w:cs="Gadugi"/>
          <w:color w:val="4472C4"/>
          <w:sz w:val="22"/>
          <w:szCs w:val="22"/>
        </w:rPr>
        <w:tab/>
        <w:t>FACTORES PARA LA UBICACIÓN DE LA CENTRAL ELECTRICA:</w:t>
      </w:r>
      <w:bookmarkEnd w:id="14"/>
    </w:p>
    <w:p w14:paraId="2581391F" w14:textId="77777777" w:rsidR="007462F0" w:rsidRDefault="009A2A4C">
      <w:pPr>
        <w:jc w:val="both"/>
        <w:rPr>
          <w:rFonts w:ascii="Gadugi" w:eastAsia="Gadugi" w:hAnsi="Gadugi" w:cs="Gadugi"/>
          <w:color w:val="000000"/>
        </w:rPr>
      </w:pPr>
      <w:r>
        <w:rPr>
          <w:rFonts w:ascii="Gadugi" w:eastAsia="Gadugi" w:hAnsi="Gadugi" w:cs="Gadugi"/>
          <w:color w:val="000000"/>
        </w:rPr>
        <w:t>Para efectos del diseño, en la ubicación de la Central Eléctrica y los Grupos Electrógenos se deberán contemplar dos factores muy importantes:</w:t>
      </w:r>
    </w:p>
    <w:p w14:paraId="69790FAF" w14:textId="77777777" w:rsidR="007462F0" w:rsidRDefault="007462F0">
      <w:pPr>
        <w:jc w:val="both"/>
        <w:rPr>
          <w:rFonts w:ascii="Gadugi" w:eastAsia="Gadugi" w:hAnsi="Gadugi" w:cs="Gadugi"/>
          <w:color w:val="000000"/>
        </w:rPr>
      </w:pPr>
    </w:p>
    <w:p w14:paraId="645B99F8" w14:textId="77777777" w:rsidR="007462F0" w:rsidRDefault="009A2A4C">
      <w:pPr>
        <w:jc w:val="both"/>
        <w:rPr>
          <w:rFonts w:ascii="Gadugi" w:eastAsia="Gadugi" w:hAnsi="Gadugi" w:cs="Gadugi"/>
          <w:b/>
          <w:color w:val="000000"/>
        </w:rPr>
      </w:pPr>
      <w:r>
        <w:rPr>
          <w:rFonts w:ascii="Gadugi" w:eastAsia="Gadugi" w:hAnsi="Gadugi" w:cs="Gadugi"/>
          <w:b/>
          <w:color w:val="000000"/>
        </w:rPr>
        <w:t>Resistencia de las estructuras</w:t>
      </w:r>
    </w:p>
    <w:p w14:paraId="292EA06D" w14:textId="715A1C46" w:rsidR="007462F0" w:rsidRDefault="009A2A4C">
      <w:pPr>
        <w:jc w:val="both"/>
        <w:rPr>
          <w:rFonts w:ascii="Gadugi" w:eastAsia="Gadugi" w:hAnsi="Gadugi" w:cs="Gadugi"/>
          <w:color w:val="000000"/>
        </w:rPr>
      </w:pPr>
      <w:r>
        <w:rPr>
          <w:rFonts w:ascii="Gadugi" w:eastAsia="Gadugi" w:hAnsi="Gadugi" w:cs="Gadugi"/>
          <w:color w:val="000000"/>
        </w:rPr>
        <w:t>Cuando la Central Eléctrica se diseña en espacios abiertos y sobre terreno disponible, sólo habrá que limitarse a la conformación del mismo y el cálculo de la losa de piso de acuerdo con el peso de los Grupos Electrógenos, tableros, transformadores y tanques de combustible que constituyen el sistema. Sin embargo, cuando la Central Eléctrica se ubicará en espacios no destinados o proyectados para la misma, sobre estructuras metálicas o de concreto, se deberá obligatoriamente hacer un estudio y recalculo de la estructura para certificar que la misma soportará las cargas (peso y vibración de los diferentes equipos que conforman la Central Eléctrica) a las cuales se someterá. Después del análisis se deberá plantear las modificaciones y adecuaciones a la estructura si aplicasen.</w:t>
      </w:r>
    </w:p>
    <w:p w14:paraId="28FBAB22" w14:textId="77777777" w:rsidR="002815F9" w:rsidRDefault="002815F9">
      <w:pPr>
        <w:jc w:val="both"/>
        <w:rPr>
          <w:rFonts w:ascii="Gadugi" w:eastAsia="Gadugi" w:hAnsi="Gadugi" w:cs="Gadugi"/>
          <w:color w:val="000000"/>
        </w:rPr>
      </w:pPr>
    </w:p>
    <w:p w14:paraId="7CCD4D8F" w14:textId="77777777" w:rsidR="007462F0" w:rsidRDefault="009A2A4C">
      <w:pPr>
        <w:jc w:val="both"/>
        <w:rPr>
          <w:rFonts w:ascii="Gadugi" w:eastAsia="Gadugi" w:hAnsi="Gadugi" w:cs="Gadugi"/>
          <w:b/>
          <w:color w:val="000000"/>
        </w:rPr>
      </w:pPr>
      <w:r>
        <w:rPr>
          <w:rFonts w:ascii="Gadugi" w:eastAsia="Gadugi" w:hAnsi="Gadugi" w:cs="Gadugi"/>
          <w:b/>
          <w:color w:val="000000"/>
        </w:rPr>
        <w:t>Descarga y puesta en sitio de los componentes</w:t>
      </w:r>
    </w:p>
    <w:p w14:paraId="6B257097" w14:textId="77777777" w:rsidR="007462F0" w:rsidRDefault="009A2A4C">
      <w:pPr>
        <w:jc w:val="both"/>
        <w:rPr>
          <w:rFonts w:ascii="Gadugi" w:eastAsia="Gadugi" w:hAnsi="Gadugi" w:cs="Gadugi"/>
          <w:color w:val="000000"/>
        </w:rPr>
      </w:pPr>
      <w:r>
        <w:rPr>
          <w:rFonts w:ascii="Gadugi" w:eastAsia="Gadugi" w:hAnsi="Gadugi" w:cs="Gadugi"/>
          <w:color w:val="000000"/>
        </w:rPr>
        <w:t>Otro factor importante que se deberá tomar en cuenta cuando se diseña la ubicación de una Central Eléctrica de Generación, son las facilidades para la descarga y puesta en sitio de los componentes de la misma, en especial los Grupos Electrógenos y transformadores que por su peso ameritan manejo con maquinarias especiales. En este caso se deberá contemplar los siguientes puntos:</w:t>
      </w:r>
    </w:p>
    <w:p w14:paraId="165D449F" w14:textId="77777777" w:rsidR="007462F0" w:rsidRPr="004D1D36" w:rsidRDefault="009A2A4C">
      <w:pPr>
        <w:widowControl w:val="0"/>
        <w:numPr>
          <w:ilvl w:val="0"/>
          <w:numId w:val="4"/>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 xml:space="preserve">Maniobrabilidad de los camiones en las vías de acceso y en el sitio de descarga. </w:t>
      </w:r>
      <w:r w:rsidRPr="004D1D36">
        <w:rPr>
          <w:rFonts w:ascii="Gadugi" w:eastAsia="Gadugi" w:hAnsi="Gadugi" w:cs="Gadugi"/>
          <w:color w:val="000000"/>
        </w:rPr>
        <w:lastRenderedPageBreak/>
        <w:t>Resistencia de las vías acceso de los camiones de carga.</w:t>
      </w:r>
    </w:p>
    <w:p w14:paraId="131E53AB" w14:textId="77777777" w:rsidR="007462F0" w:rsidRPr="004D1D36" w:rsidRDefault="009A2A4C">
      <w:pPr>
        <w:widowControl w:val="0"/>
        <w:numPr>
          <w:ilvl w:val="0"/>
          <w:numId w:val="4"/>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 xml:space="preserve">Resistencia del sitio donde se ubicará la maquinaria para la descarga de los equipos. </w:t>
      </w:r>
    </w:p>
    <w:p w14:paraId="0D7C7AAD" w14:textId="77777777" w:rsidR="007462F0" w:rsidRPr="004D1D36" w:rsidRDefault="009A2A4C">
      <w:pPr>
        <w:widowControl w:val="0"/>
        <w:numPr>
          <w:ilvl w:val="0"/>
          <w:numId w:val="4"/>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Espacio de maniobrabilidad segura de la maquinaria de descarga (ubicación de líneas de alta o media tensión, espacios reducidos de maniobra, otros equipos).</w:t>
      </w:r>
    </w:p>
    <w:p w14:paraId="36812DE5" w14:textId="77777777" w:rsidR="007462F0" w:rsidRDefault="007462F0">
      <w:pPr>
        <w:jc w:val="both"/>
        <w:rPr>
          <w:rFonts w:ascii="Gadugi" w:eastAsia="Gadugi" w:hAnsi="Gadugi" w:cs="Gadugi"/>
          <w:color w:val="000000"/>
        </w:rPr>
      </w:pPr>
    </w:p>
    <w:p w14:paraId="14CA78F2" w14:textId="2847C11F" w:rsidR="007462F0" w:rsidRDefault="009A2A4C">
      <w:pPr>
        <w:pStyle w:val="Ttulo2"/>
        <w:spacing w:after="120"/>
        <w:ind w:left="720" w:hanging="720"/>
        <w:rPr>
          <w:rFonts w:ascii="Gadugi" w:eastAsia="Gadugi" w:hAnsi="Gadugi" w:cs="Gadugi"/>
          <w:color w:val="4472C4"/>
          <w:sz w:val="22"/>
          <w:szCs w:val="22"/>
        </w:rPr>
      </w:pPr>
      <w:bookmarkStart w:id="15" w:name="_Toc188539079"/>
      <w:r>
        <w:rPr>
          <w:rFonts w:ascii="Gadugi" w:eastAsia="Gadugi" w:hAnsi="Gadugi" w:cs="Gadugi"/>
          <w:color w:val="4472C4"/>
          <w:sz w:val="22"/>
          <w:szCs w:val="22"/>
        </w:rPr>
        <w:t>3.5.</w:t>
      </w:r>
      <w:r>
        <w:rPr>
          <w:rFonts w:ascii="Gadugi" w:eastAsia="Gadugi" w:hAnsi="Gadugi" w:cs="Gadugi"/>
          <w:color w:val="4472C4"/>
          <w:sz w:val="22"/>
          <w:szCs w:val="22"/>
        </w:rPr>
        <w:tab/>
        <w:t>SUMINISTRO DE COMBUSTIBLE</w:t>
      </w:r>
      <w:bookmarkEnd w:id="15"/>
    </w:p>
    <w:p w14:paraId="368E8BB8" w14:textId="77777777" w:rsidR="007462F0" w:rsidRDefault="009A2A4C">
      <w:pPr>
        <w:jc w:val="both"/>
        <w:rPr>
          <w:rFonts w:ascii="Gadugi" w:eastAsia="Gadugi" w:hAnsi="Gadugi" w:cs="Gadugi"/>
          <w:color w:val="000000"/>
        </w:rPr>
      </w:pPr>
      <w:r>
        <w:rPr>
          <w:rFonts w:ascii="Gadugi" w:eastAsia="Gadugi" w:hAnsi="Gadugi" w:cs="Gadugi"/>
          <w:color w:val="000000"/>
        </w:rPr>
        <w:t xml:space="preserve">El suministro seguro y constante de combustible líquido (Diésel) a los Grupos Electrógenos es un factor de alta importancia operativa para el diseño de la Central Eléctrica. Será necesario el estudio de riesgo (incendio o contaminación ambiental) de acuerdo con el tipo de aplicación y la autonomía de funcionamiento sin recarga de combustible que se desea tener en el sistema de generación. Para efectos de un diseño aceptable y por razones de los riesgos que se pueden asumir, se deben tomar en cuenta los siguientes factores: </w:t>
      </w:r>
    </w:p>
    <w:p w14:paraId="1592E757" w14:textId="77777777" w:rsidR="007462F0" w:rsidRDefault="009A2A4C">
      <w:pPr>
        <w:jc w:val="both"/>
        <w:rPr>
          <w:rFonts w:ascii="Gadugi" w:eastAsia="Gadugi" w:hAnsi="Gadugi" w:cs="Gadugi"/>
          <w:color w:val="000000"/>
        </w:rPr>
      </w:pPr>
      <w:r>
        <w:rPr>
          <w:rFonts w:ascii="Gadugi" w:eastAsia="Gadugi" w:hAnsi="Gadugi" w:cs="Gadugi"/>
          <w:color w:val="000000"/>
        </w:rPr>
        <w:t>Tamaño, ubicación y tipo de sistema de almacenamiento en caso de combustible líquido. Se deberá aplicar lo indicado en las Normas NFPA-30 (Código de Líquidos Inflamables y Combustibles). Almacenamiento y Manipulación y la Norma NFPA-110.</w:t>
      </w:r>
    </w:p>
    <w:p w14:paraId="3FC1B1BF" w14:textId="77777777" w:rsidR="007462F0" w:rsidRDefault="009A2A4C">
      <w:pPr>
        <w:jc w:val="both"/>
        <w:rPr>
          <w:rFonts w:ascii="Gadugi" w:eastAsia="Gadugi" w:hAnsi="Gadugi" w:cs="Gadugi"/>
          <w:color w:val="000000"/>
        </w:rPr>
      </w:pPr>
      <w:r>
        <w:rPr>
          <w:rFonts w:ascii="Gadugi" w:eastAsia="Gadugi" w:hAnsi="Gadugi" w:cs="Gadugi"/>
          <w:color w:val="000000"/>
        </w:rPr>
        <w:t xml:space="preserve">Disponibilidad y periodicidad del suministro del combustible líquido por parte de suplidor externo. </w:t>
      </w:r>
    </w:p>
    <w:p w14:paraId="04CCCE9F" w14:textId="010BEFD6" w:rsidR="007462F0" w:rsidRDefault="009A2A4C">
      <w:pPr>
        <w:jc w:val="both"/>
        <w:rPr>
          <w:rFonts w:ascii="Gadugi" w:eastAsia="Gadugi" w:hAnsi="Gadugi" w:cs="Gadugi"/>
          <w:color w:val="000000"/>
        </w:rPr>
      </w:pPr>
      <w:r>
        <w:rPr>
          <w:rFonts w:ascii="Gadugi" w:eastAsia="Gadugi" w:hAnsi="Gadugi" w:cs="Gadugi"/>
          <w:color w:val="000000"/>
        </w:rPr>
        <w:t>Acceso y descarga de combustible líquido al tanque de almacenamiento. Se deberá estudiar también la resistencia de la vía de acceso y maniobrabilidad de los camiones transportadores.</w:t>
      </w:r>
    </w:p>
    <w:p w14:paraId="41FC9ED0" w14:textId="77777777" w:rsidR="004D1D36" w:rsidRDefault="004D1D36">
      <w:pPr>
        <w:jc w:val="both"/>
        <w:rPr>
          <w:rFonts w:ascii="Gadugi" w:eastAsia="Gadugi" w:hAnsi="Gadugi" w:cs="Gadugi"/>
          <w:color w:val="000000"/>
        </w:rPr>
      </w:pPr>
    </w:p>
    <w:p w14:paraId="401F6242" w14:textId="63C89641" w:rsidR="007462F0" w:rsidRDefault="009A2A4C">
      <w:pPr>
        <w:pStyle w:val="Ttulo2"/>
        <w:spacing w:after="120"/>
        <w:ind w:left="720" w:hanging="720"/>
        <w:rPr>
          <w:rFonts w:ascii="Gadugi" w:eastAsia="Gadugi" w:hAnsi="Gadugi" w:cs="Gadugi"/>
          <w:color w:val="4472C4"/>
          <w:sz w:val="22"/>
          <w:szCs w:val="22"/>
        </w:rPr>
      </w:pPr>
      <w:bookmarkStart w:id="16" w:name="_Toc188539080"/>
      <w:r>
        <w:rPr>
          <w:rFonts w:ascii="Gadugi" w:eastAsia="Gadugi" w:hAnsi="Gadugi" w:cs="Gadugi"/>
          <w:color w:val="4472C4"/>
          <w:sz w:val="22"/>
          <w:szCs w:val="22"/>
        </w:rPr>
        <w:t>3.6.</w:t>
      </w:r>
      <w:r>
        <w:rPr>
          <w:rFonts w:ascii="Gadugi" w:eastAsia="Gadugi" w:hAnsi="Gadugi" w:cs="Gadugi"/>
          <w:color w:val="4472C4"/>
          <w:sz w:val="22"/>
          <w:szCs w:val="22"/>
        </w:rPr>
        <w:tab/>
        <w:t>DISTANCIA DE LOS CENTROS DE DISTRIBUCION DE POTENCIA</w:t>
      </w:r>
      <w:bookmarkEnd w:id="16"/>
    </w:p>
    <w:p w14:paraId="0F09562C" w14:textId="5860C9B6" w:rsidR="007462F0" w:rsidRDefault="009A2A4C">
      <w:pPr>
        <w:jc w:val="both"/>
        <w:rPr>
          <w:rFonts w:ascii="Gadugi" w:eastAsia="Gadugi" w:hAnsi="Gadugi" w:cs="Gadugi"/>
          <w:color w:val="000000"/>
        </w:rPr>
      </w:pPr>
      <w:r>
        <w:rPr>
          <w:rFonts w:ascii="Gadugi" w:eastAsia="Gadugi" w:hAnsi="Gadugi" w:cs="Gadugi"/>
          <w:color w:val="000000"/>
        </w:rPr>
        <w:t xml:space="preserve">Uno de los factores que pueden hacer muy compleja y costosa el establecimiento de una Central Eléctrica en una edificación o industria en funcionamiento es el criterio para la conexión eléctrica entre la Central Eléctrica y los centros de distribución de potencia eléctrica en el interior de la edificación, por lo que para el diseño de una Central Eléctrica de Generación, en especial de respaldo, se deberán tomar en cuenta la ubicación de la Central Eléctrica lo más cerca técnicamente permisible de los centros de distribución de potencia eléctrica o en caso de instalaciones nuevas ubicar los centros de potencia lo más cerca </w:t>
      </w:r>
      <w:r>
        <w:rPr>
          <w:rFonts w:ascii="Gadugi" w:eastAsia="Gadugi" w:hAnsi="Gadugi" w:cs="Gadugi"/>
          <w:color w:val="000000"/>
        </w:rPr>
        <w:lastRenderedPageBreak/>
        <w:t>posible de la Central Eléctrica. Para estos casos lo más recomendable es utilizar acometidas en baja tensión en canalización metálica o bancadas subterráneas.</w:t>
      </w:r>
    </w:p>
    <w:p w14:paraId="14271D8B" w14:textId="77777777" w:rsidR="002815F9" w:rsidRDefault="002815F9">
      <w:pPr>
        <w:jc w:val="both"/>
        <w:rPr>
          <w:rFonts w:ascii="Gadugi" w:eastAsia="Gadugi" w:hAnsi="Gadugi" w:cs="Gadugi"/>
          <w:color w:val="000000"/>
        </w:rPr>
      </w:pPr>
    </w:p>
    <w:p w14:paraId="29E1B361" w14:textId="21392D35" w:rsidR="007462F0" w:rsidRDefault="009A2A4C">
      <w:pPr>
        <w:pStyle w:val="Ttulo2"/>
        <w:spacing w:after="120"/>
        <w:ind w:left="720" w:hanging="720"/>
        <w:rPr>
          <w:rFonts w:ascii="Gadugi" w:eastAsia="Gadugi" w:hAnsi="Gadugi" w:cs="Gadugi"/>
          <w:color w:val="4472C4"/>
          <w:sz w:val="22"/>
          <w:szCs w:val="22"/>
        </w:rPr>
      </w:pPr>
      <w:bookmarkStart w:id="17" w:name="_Toc188539081"/>
      <w:r>
        <w:rPr>
          <w:rFonts w:ascii="Gadugi" w:eastAsia="Gadugi" w:hAnsi="Gadugi" w:cs="Gadugi"/>
          <w:color w:val="4472C4"/>
          <w:sz w:val="22"/>
          <w:szCs w:val="22"/>
        </w:rPr>
        <w:t>3.7.</w:t>
      </w:r>
      <w:r>
        <w:rPr>
          <w:rFonts w:ascii="Gadugi" w:eastAsia="Gadugi" w:hAnsi="Gadugi" w:cs="Gadugi"/>
          <w:color w:val="4472C4"/>
          <w:sz w:val="22"/>
          <w:szCs w:val="22"/>
        </w:rPr>
        <w:tab/>
        <w:t>CONTAMINACION AMBIENTAL</w:t>
      </w:r>
      <w:bookmarkEnd w:id="17"/>
    </w:p>
    <w:p w14:paraId="52AB564C" w14:textId="77777777" w:rsidR="007462F0" w:rsidRDefault="009A2A4C">
      <w:pPr>
        <w:jc w:val="both"/>
        <w:rPr>
          <w:rFonts w:ascii="Gadugi" w:eastAsia="Gadugi" w:hAnsi="Gadugi" w:cs="Gadugi"/>
          <w:color w:val="000000"/>
        </w:rPr>
      </w:pPr>
      <w:r>
        <w:rPr>
          <w:rFonts w:ascii="Gadugi" w:eastAsia="Gadugi" w:hAnsi="Gadugi" w:cs="Gadugi"/>
          <w:color w:val="000000"/>
        </w:rPr>
        <w:t xml:space="preserve">Los Grupos Electrógenos de la Central Eléctrica son fuentes de contaminación ambiental, el ruido y la polución (humo y gases de combustión) son los factores de contaminación ambiental que se deberán controlar en el diseño del sistema de generación, algunos criterios para su control son los siguientes:  </w:t>
      </w:r>
    </w:p>
    <w:p w14:paraId="1C0A6772" w14:textId="77777777" w:rsidR="007462F0" w:rsidRPr="004D1D36" w:rsidRDefault="009A2A4C">
      <w:pPr>
        <w:widowControl w:val="0"/>
        <w:numPr>
          <w:ilvl w:val="0"/>
          <w:numId w:val="6"/>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 xml:space="preserve">Por otra parte, en caso de utilizar casetas o salas de generación se deberá prever la adecuación con atenuadores de ruido en las entradas y salidas de aire de enfriamiento y las paredes del espacio destinado para la ubicación de los Grupos Electrógenos. </w:t>
      </w:r>
    </w:p>
    <w:p w14:paraId="562F3876" w14:textId="77777777" w:rsidR="007462F0" w:rsidRPr="004D1D36" w:rsidRDefault="009A2A4C">
      <w:pPr>
        <w:widowControl w:val="0"/>
        <w:numPr>
          <w:ilvl w:val="0"/>
          <w:numId w:val="6"/>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Para el control de la contaminación producida por los gases de escape, será necesario estudiar la disposición segura de los mismos la ubicación de tubería de escale o descarga de gases los más alto y lejana posible de edificaciones habitables, así como contemplando también la dirección de los vientos predominantes</w:t>
      </w:r>
    </w:p>
    <w:p w14:paraId="5D977916" w14:textId="77777777" w:rsidR="007462F0" w:rsidRDefault="007462F0">
      <w:pPr>
        <w:jc w:val="both"/>
        <w:rPr>
          <w:rFonts w:ascii="Gadugi" w:eastAsia="Gadugi" w:hAnsi="Gadugi" w:cs="Gadugi"/>
          <w:color w:val="000000"/>
        </w:rPr>
      </w:pPr>
    </w:p>
    <w:p w14:paraId="170D3429" w14:textId="29880BD1" w:rsidR="007462F0" w:rsidRDefault="009A2A4C">
      <w:pPr>
        <w:pStyle w:val="Ttulo1"/>
        <w:numPr>
          <w:ilvl w:val="0"/>
          <w:numId w:val="12"/>
        </w:numPr>
        <w:spacing w:after="240" w:line="259" w:lineRule="auto"/>
        <w:ind w:left="357" w:hanging="357"/>
        <w:rPr>
          <w:rFonts w:ascii="Gadugi" w:eastAsia="Gadugi" w:hAnsi="Gadugi" w:cs="Gadugi"/>
          <w:b/>
          <w:color w:val="4472C4"/>
          <w:sz w:val="22"/>
          <w:szCs w:val="22"/>
          <w:u w:val="none"/>
        </w:rPr>
      </w:pPr>
      <w:bookmarkStart w:id="18" w:name="_Toc188539082"/>
      <w:r>
        <w:rPr>
          <w:rFonts w:ascii="Gadugi" w:eastAsia="Gadugi" w:hAnsi="Gadugi" w:cs="Gadugi"/>
          <w:b/>
          <w:color w:val="4472C4"/>
          <w:sz w:val="22"/>
          <w:szCs w:val="22"/>
          <w:u w:val="none"/>
        </w:rPr>
        <w:t>TABLEROS ELECTRICOS DE POTENCIA DE LA CENTRAL DE GENERACION</w:t>
      </w:r>
      <w:bookmarkEnd w:id="18"/>
    </w:p>
    <w:p w14:paraId="62D0AE28" w14:textId="633A284A" w:rsidR="007462F0" w:rsidRDefault="009A2A4C">
      <w:pPr>
        <w:pStyle w:val="Ttulo2"/>
        <w:spacing w:after="120"/>
        <w:ind w:left="720" w:hanging="720"/>
        <w:rPr>
          <w:rFonts w:ascii="Gadugi" w:eastAsia="Gadugi" w:hAnsi="Gadugi" w:cs="Gadugi"/>
          <w:color w:val="4472C4"/>
          <w:sz w:val="22"/>
          <w:szCs w:val="22"/>
        </w:rPr>
      </w:pPr>
      <w:bookmarkStart w:id="19" w:name="_Toc188539083"/>
      <w:r>
        <w:rPr>
          <w:rFonts w:ascii="Gadugi" w:eastAsia="Gadugi" w:hAnsi="Gadugi" w:cs="Gadugi"/>
          <w:color w:val="4472C4"/>
          <w:sz w:val="22"/>
          <w:szCs w:val="22"/>
        </w:rPr>
        <w:t>4.1.</w:t>
      </w:r>
      <w:r>
        <w:rPr>
          <w:rFonts w:ascii="Gadugi" w:eastAsia="Gadugi" w:hAnsi="Gadugi" w:cs="Gadugi"/>
          <w:color w:val="4472C4"/>
          <w:sz w:val="22"/>
          <w:szCs w:val="22"/>
        </w:rPr>
        <w:tab/>
        <w:t>CLASIFICACION DE LOS TABLEROS PARA CENTRALES ELECTRICAS</w:t>
      </w:r>
      <w:bookmarkEnd w:id="19"/>
    </w:p>
    <w:p w14:paraId="7AB60E5E" w14:textId="77777777" w:rsidR="007462F0" w:rsidRDefault="009A2A4C">
      <w:pPr>
        <w:jc w:val="both"/>
        <w:rPr>
          <w:rFonts w:ascii="Gadugi" w:eastAsia="Gadugi" w:hAnsi="Gadugi" w:cs="Gadugi"/>
          <w:color w:val="000000"/>
        </w:rPr>
      </w:pPr>
      <w:r>
        <w:rPr>
          <w:rFonts w:ascii="Gadugi" w:eastAsia="Gadugi" w:hAnsi="Gadugi" w:cs="Gadugi"/>
          <w:color w:val="000000"/>
        </w:rPr>
        <w:t xml:space="preserve">Los tableros de potencia y distribución vinculados a una Central Eléctrica o a los Grupos Electrógenos se pueden clasificar de acuerdo con: A.- Su aplicación, B.- El nivel de tensión al cual son sometidos, C- Tipo de ambiente y ubicación (interior o exterior) y D.- Nivel de Cortocircuito. Para efectos de garantizar la seguridad y vida de las personas que operan o están en las cercanías de los tableros eléctricos, así como para evitar incendios o daños en las estructuras o dispositivos del tablero o externas al mismo, para el diseño y construcción de los tableros eléctricos es obligatoria la aplicación de normas. Las normas de referencia son: NTC 2050, NEMA 250-2003 e </w:t>
      </w:r>
      <w:proofErr w:type="spellStart"/>
      <w:r>
        <w:rPr>
          <w:rFonts w:ascii="Gadugi" w:eastAsia="Gadugi" w:hAnsi="Gadugi" w:cs="Gadugi"/>
          <w:color w:val="000000"/>
        </w:rPr>
        <w:t>lEC</w:t>
      </w:r>
      <w:proofErr w:type="spellEnd"/>
      <w:r>
        <w:rPr>
          <w:rFonts w:ascii="Gadugi" w:eastAsia="Gadugi" w:hAnsi="Gadugi" w:cs="Gadugi"/>
          <w:color w:val="000000"/>
        </w:rPr>
        <w:t xml:space="preserve"> 529-2001</w:t>
      </w:r>
    </w:p>
    <w:p w14:paraId="3552242F" w14:textId="3BA5097B" w:rsidR="007462F0" w:rsidRDefault="007462F0">
      <w:pPr>
        <w:jc w:val="both"/>
        <w:rPr>
          <w:rFonts w:ascii="Gadugi" w:eastAsia="Gadugi" w:hAnsi="Gadugi" w:cs="Gadugi"/>
          <w:color w:val="000000"/>
        </w:rPr>
      </w:pPr>
    </w:p>
    <w:p w14:paraId="45697F10" w14:textId="77777777" w:rsidR="002815F9" w:rsidRDefault="002815F9">
      <w:pPr>
        <w:jc w:val="both"/>
        <w:rPr>
          <w:rFonts w:ascii="Gadugi" w:eastAsia="Gadugi" w:hAnsi="Gadugi" w:cs="Gadugi"/>
          <w:color w:val="000000"/>
        </w:rPr>
      </w:pPr>
    </w:p>
    <w:p w14:paraId="2B42F89D" w14:textId="49289724" w:rsidR="007462F0" w:rsidRDefault="009A2A4C">
      <w:pPr>
        <w:pStyle w:val="Ttulo2"/>
        <w:spacing w:after="120"/>
        <w:ind w:left="720" w:hanging="720"/>
        <w:rPr>
          <w:rFonts w:ascii="Gadugi" w:eastAsia="Gadugi" w:hAnsi="Gadugi" w:cs="Gadugi"/>
          <w:color w:val="4472C4"/>
          <w:sz w:val="22"/>
          <w:szCs w:val="22"/>
        </w:rPr>
      </w:pPr>
      <w:bookmarkStart w:id="20" w:name="_Toc188539084"/>
      <w:r>
        <w:rPr>
          <w:rFonts w:ascii="Gadugi" w:eastAsia="Gadugi" w:hAnsi="Gadugi" w:cs="Gadugi"/>
          <w:color w:val="4472C4"/>
          <w:sz w:val="22"/>
          <w:szCs w:val="22"/>
        </w:rPr>
        <w:lastRenderedPageBreak/>
        <w:t>4.2.</w:t>
      </w:r>
      <w:r>
        <w:rPr>
          <w:rFonts w:ascii="Gadugi" w:eastAsia="Gadugi" w:hAnsi="Gadugi" w:cs="Gadugi"/>
          <w:color w:val="4472C4"/>
          <w:sz w:val="22"/>
          <w:szCs w:val="22"/>
        </w:rPr>
        <w:tab/>
        <w:t>CENTROS DE DISTRIBUCION DE POTENCIA</w:t>
      </w:r>
      <w:bookmarkEnd w:id="20"/>
    </w:p>
    <w:p w14:paraId="43487B32" w14:textId="77777777" w:rsidR="007462F0" w:rsidRDefault="009A2A4C">
      <w:pPr>
        <w:jc w:val="both"/>
        <w:rPr>
          <w:rFonts w:ascii="Gadugi" w:eastAsia="Gadugi" w:hAnsi="Gadugi" w:cs="Gadugi"/>
          <w:color w:val="000000"/>
        </w:rPr>
      </w:pPr>
      <w:r>
        <w:rPr>
          <w:rFonts w:ascii="Gadugi" w:eastAsia="Gadugi" w:hAnsi="Gadugi" w:cs="Gadugi"/>
          <w:color w:val="000000"/>
        </w:rPr>
        <w:t>Es el tablero de baja o media tensión que tiene uno o varios interruptores y/o seccionadores de entrada y salida sobre una barra común y dentro de uno o varios gabinetes o celdas robustamente fijados el uno al otro que conforman un solo cuerpo, con la finalidad de recibir y distribuir potencia eléctrica a consumidores finales que pueden ser: Tableros de Fuerza y Distribución, Centro de Control de Motores y Tableros de Transferencia. Un tablero con un solo interruptor de protección de un grupo electrógeno o de protección del transformador en una subestación es considerado también un Centro de Distribución de Potencia.</w:t>
      </w:r>
    </w:p>
    <w:p w14:paraId="4EAB170A" w14:textId="77777777" w:rsidR="007462F0" w:rsidRDefault="007462F0">
      <w:pPr>
        <w:jc w:val="both"/>
        <w:rPr>
          <w:rFonts w:ascii="Gadugi" w:eastAsia="Gadugi" w:hAnsi="Gadugi" w:cs="Gadugi"/>
          <w:color w:val="000000"/>
        </w:rPr>
      </w:pPr>
    </w:p>
    <w:p w14:paraId="149FA75D" w14:textId="353B2E60" w:rsidR="007462F0" w:rsidRDefault="009A2A4C">
      <w:pPr>
        <w:pStyle w:val="Ttulo2"/>
        <w:spacing w:after="120"/>
        <w:ind w:left="720" w:hanging="720"/>
        <w:rPr>
          <w:rFonts w:ascii="Gadugi" w:eastAsia="Gadugi" w:hAnsi="Gadugi" w:cs="Gadugi"/>
          <w:color w:val="4472C4"/>
          <w:sz w:val="22"/>
          <w:szCs w:val="22"/>
        </w:rPr>
      </w:pPr>
      <w:bookmarkStart w:id="21" w:name="_Toc188539085"/>
      <w:r>
        <w:rPr>
          <w:rFonts w:ascii="Gadugi" w:eastAsia="Gadugi" w:hAnsi="Gadugi" w:cs="Gadugi"/>
          <w:color w:val="4472C4"/>
          <w:sz w:val="22"/>
          <w:szCs w:val="22"/>
        </w:rPr>
        <w:t>4.3.</w:t>
      </w:r>
      <w:r>
        <w:rPr>
          <w:rFonts w:ascii="Gadugi" w:eastAsia="Gadugi" w:hAnsi="Gadugi" w:cs="Gadugi"/>
          <w:color w:val="4472C4"/>
          <w:sz w:val="22"/>
          <w:szCs w:val="22"/>
        </w:rPr>
        <w:tab/>
        <w:t>TABLEROS DE CONTROL</w:t>
      </w:r>
      <w:bookmarkEnd w:id="21"/>
    </w:p>
    <w:p w14:paraId="4BE44E43" w14:textId="77777777" w:rsidR="007462F0" w:rsidRDefault="009A2A4C">
      <w:pPr>
        <w:jc w:val="both"/>
        <w:rPr>
          <w:rFonts w:ascii="Gadugi" w:eastAsia="Gadugi" w:hAnsi="Gadugi" w:cs="Gadugi"/>
          <w:color w:val="000000"/>
        </w:rPr>
      </w:pPr>
      <w:r>
        <w:rPr>
          <w:rFonts w:ascii="Gadugi" w:eastAsia="Gadugi" w:hAnsi="Gadugi" w:cs="Gadugi"/>
          <w:color w:val="000000"/>
        </w:rPr>
        <w:t>En referencia a la Central Eléctrica de Generación Distribuida, los tableros de control son aquellos que exclusivamente contienen todos los dispositivos de automatismo vinculado a su operación, como autómatas programables, sincronizadores automáticos, controladores integrales, monitoreo y protecciones eléctricas. Por lo general están anexos a tableros de distribución de potencia, sin embargo, no deben compartir las celdas y en caso de que los dispositivos de control estén en la misma celda estas deben ser totalmente aisladas del compartimiento de potencia sea cual sea el nivel de tensión, aunque es recomendable que en media tensión el tablero de control sea una celda separada de las celdas de potencia.</w:t>
      </w:r>
    </w:p>
    <w:p w14:paraId="109B3204" w14:textId="77777777" w:rsidR="007462F0" w:rsidRDefault="007462F0">
      <w:pPr>
        <w:jc w:val="both"/>
        <w:rPr>
          <w:rFonts w:ascii="Gadugi" w:eastAsia="Gadugi" w:hAnsi="Gadugi" w:cs="Gadugi"/>
          <w:color w:val="000000"/>
        </w:rPr>
      </w:pPr>
    </w:p>
    <w:p w14:paraId="2CDA767B" w14:textId="3A6EDABD" w:rsidR="007462F0" w:rsidRDefault="009A2A4C">
      <w:pPr>
        <w:pStyle w:val="Ttulo2"/>
        <w:spacing w:after="120"/>
        <w:ind w:left="720" w:hanging="720"/>
        <w:rPr>
          <w:rFonts w:ascii="Gadugi" w:eastAsia="Gadugi" w:hAnsi="Gadugi" w:cs="Gadugi"/>
          <w:color w:val="4472C4"/>
          <w:sz w:val="22"/>
          <w:szCs w:val="22"/>
        </w:rPr>
      </w:pPr>
      <w:bookmarkStart w:id="22" w:name="_Toc188539086"/>
      <w:r>
        <w:rPr>
          <w:rFonts w:ascii="Gadugi" w:eastAsia="Gadugi" w:hAnsi="Gadugi" w:cs="Gadugi"/>
          <w:color w:val="4472C4"/>
          <w:sz w:val="22"/>
          <w:szCs w:val="22"/>
        </w:rPr>
        <w:t>4.4.</w:t>
      </w:r>
      <w:r>
        <w:rPr>
          <w:rFonts w:ascii="Gadugi" w:eastAsia="Gadugi" w:hAnsi="Gadugi" w:cs="Gadugi"/>
          <w:color w:val="4472C4"/>
          <w:sz w:val="22"/>
          <w:szCs w:val="22"/>
        </w:rPr>
        <w:tab/>
        <w:t>TABLEROS DE ALUMBRADO Y CIRCUITOS AUXILIARES</w:t>
      </w:r>
      <w:bookmarkEnd w:id="22"/>
    </w:p>
    <w:p w14:paraId="54001AE8" w14:textId="77777777" w:rsidR="007462F0" w:rsidRDefault="009A2A4C">
      <w:pPr>
        <w:jc w:val="both"/>
        <w:rPr>
          <w:rFonts w:ascii="Gadugi" w:eastAsia="Gadugi" w:hAnsi="Gadugi" w:cs="Gadugi"/>
          <w:color w:val="000000"/>
        </w:rPr>
      </w:pPr>
      <w:r>
        <w:rPr>
          <w:rFonts w:ascii="Gadugi" w:eastAsia="Gadugi" w:hAnsi="Gadugi" w:cs="Gadugi"/>
          <w:color w:val="000000"/>
        </w:rPr>
        <w:t>Los tableros de alumbrado y circuitos auxiliares en referencia a la Central Eléctrica de Generación Distribuida son aquellos de los cuales dependen los circuitos de iluminación, puntos de tomacorriente, circuitos especiales para fuentes de poder, dispositivos de comunicación y cargadores de baterías. Son específicamente superficiales (adosados o embutidos en las paredes) con acceso solo frontal, pueden tener un interruptor principal. Su alimentación proviene de un tablero fuerza y distribución.</w:t>
      </w:r>
    </w:p>
    <w:p w14:paraId="23152866" w14:textId="18B73816" w:rsidR="007462F0" w:rsidRDefault="007462F0">
      <w:pPr>
        <w:jc w:val="both"/>
        <w:rPr>
          <w:rFonts w:ascii="Gadugi" w:eastAsia="Gadugi" w:hAnsi="Gadugi" w:cs="Gadugi"/>
          <w:color w:val="000000"/>
        </w:rPr>
      </w:pPr>
    </w:p>
    <w:p w14:paraId="47EF64E1" w14:textId="4073C53D" w:rsidR="002815F9" w:rsidRDefault="002815F9">
      <w:pPr>
        <w:jc w:val="both"/>
        <w:rPr>
          <w:rFonts w:ascii="Gadugi" w:eastAsia="Gadugi" w:hAnsi="Gadugi" w:cs="Gadugi"/>
          <w:color w:val="000000"/>
        </w:rPr>
      </w:pPr>
    </w:p>
    <w:p w14:paraId="346296B8" w14:textId="77777777" w:rsidR="002815F9" w:rsidRDefault="002815F9">
      <w:pPr>
        <w:jc w:val="both"/>
        <w:rPr>
          <w:rFonts w:ascii="Gadugi" w:eastAsia="Gadugi" w:hAnsi="Gadugi" w:cs="Gadugi"/>
          <w:color w:val="000000"/>
        </w:rPr>
      </w:pPr>
    </w:p>
    <w:p w14:paraId="7DBB9D07" w14:textId="49CA5189" w:rsidR="007462F0" w:rsidRDefault="009A2A4C">
      <w:pPr>
        <w:pStyle w:val="Ttulo2"/>
        <w:spacing w:after="120"/>
        <w:ind w:left="720" w:hanging="720"/>
        <w:rPr>
          <w:rFonts w:ascii="Gadugi" w:eastAsia="Gadugi" w:hAnsi="Gadugi" w:cs="Gadugi"/>
          <w:color w:val="4472C4"/>
          <w:sz w:val="22"/>
          <w:szCs w:val="22"/>
        </w:rPr>
      </w:pPr>
      <w:bookmarkStart w:id="23" w:name="_Toc188539087"/>
      <w:r>
        <w:rPr>
          <w:rFonts w:ascii="Gadugi" w:eastAsia="Gadugi" w:hAnsi="Gadugi" w:cs="Gadugi"/>
          <w:color w:val="4472C4"/>
          <w:sz w:val="22"/>
          <w:szCs w:val="22"/>
        </w:rPr>
        <w:lastRenderedPageBreak/>
        <w:t>4.5.</w:t>
      </w:r>
      <w:r>
        <w:rPr>
          <w:rFonts w:ascii="Gadugi" w:eastAsia="Gadugi" w:hAnsi="Gadugi" w:cs="Gadugi"/>
          <w:color w:val="4472C4"/>
          <w:sz w:val="22"/>
          <w:szCs w:val="22"/>
        </w:rPr>
        <w:tab/>
        <w:t>TABLEROS DE CELDAS DE SECCIONAMIENTO MT</w:t>
      </w:r>
      <w:bookmarkEnd w:id="23"/>
    </w:p>
    <w:p w14:paraId="21841CCA" w14:textId="77777777" w:rsidR="007462F0" w:rsidRDefault="009A2A4C">
      <w:pPr>
        <w:jc w:val="both"/>
        <w:rPr>
          <w:rFonts w:ascii="Gadugi" w:eastAsia="Gadugi" w:hAnsi="Gadugi" w:cs="Gadugi"/>
          <w:color w:val="000000"/>
        </w:rPr>
      </w:pPr>
      <w:r>
        <w:rPr>
          <w:rFonts w:ascii="Gadugi" w:eastAsia="Gadugi" w:hAnsi="Gadugi" w:cs="Gadugi"/>
          <w:color w:val="000000"/>
        </w:rPr>
        <w:t>La principal función de los tableros de celdas de seccionamiento es aislar y proteger (cuando tienen fusibles) circuitos de principales de alimentación en subestaciones de media tensión.</w:t>
      </w:r>
    </w:p>
    <w:p w14:paraId="645145FA" w14:textId="77777777" w:rsidR="007462F0" w:rsidRDefault="007462F0">
      <w:pPr>
        <w:jc w:val="both"/>
        <w:rPr>
          <w:rFonts w:ascii="Gadugi" w:eastAsia="Gadugi" w:hAnsi="Gadugi" w:cs="Gadugi"/>
          <w:color w:val="000000"/>
        </w:rPr>
      </w:pPr>
    </w:p>
    <w:p w14:paraId="247551AC" w14:textId="77777777" w:rsidR="00D211AC" w:rsidRDefault="009A2A4C" w:rsidP="00D211AC">
      <w:pPr>
        <w:keepNext/>
        <w:jc w:val="center"/>
      </w:pPr>
      <w:r>
        <w:rPr>
          <w:noProof/>
        </w:rPr>
        <w:drawing>
          <wp:inline distT="0" distB="0" distL="0" distR="0" wp14:anchorId="15E2B244" wp14:editId="34DDA615">
            <wp:extent cx="4067339" cy="3050504"/>
            <wp:effectExtent l="0" t="0" r="0" b="0"/>
            <wp:docPr id="2110191441" name="image5.jpg" descr="C:\Users\estef\OneDrive\Escritorio\05_celda_secc_mt.jpg"/>
            <wp:cNvGraphicFramePr/>
            <a:graphic xmlns:a="http://schemas.openxmlformats.org/drawingml/2006/main">
              <a:graphicData uri="http://schemas.openxmlformats.org/drawingml/2006/picture">
                <pic:pic xmlns:pic="http://schemas.openxmlformats.org/drawingml/2006/picture">
                  <pic:nvPicPr>
                    <pic:cNvPr id="0" name="image5.jpg" descr="C:\Users\estef\OneDrive\Escritorio\05_celda_secc_mt.jpg"/>
                    <pic:cNvPicPr preferRelativeResize="0"/>
                  </pic:nvPicPr>
                  <pic:blipFill>
                    <a:blip r:embed="rId19"/>
                    <a:srcRect/>
                    <a:stretch>
                      <a:fillRect/>
                    </a:stretch>
                  </pic:blipFill>
                  <pic:spPr>
                    <a:xfrm>
                      <a:off x="0" y="0"/>
                      <a:ext cx="4067339" cy="3050504"/>
                    </a:xfrm>
                    <a:prstGeom prst="rect">
                      <a:avLst/>
                    </a:prstGeom>
                    <a:ln/>
                  </pic:spPr>
                </pic:pic>
              </a:graphicData>
            </a:graphic>
          </wp:inline>
        </w:drawing>
      </w:r>
    </w:p>
    <w:p w14:paraId="479BC367" w14:textId="41150A71" w:rsidR="007462F0" w:rsidRDefault="00D211AC" w:rsidP="00D211AC">
      <w:pPr>
        <w:pStyle w:val="Descripcin"/>
        <w:jc w:val="center"/>
        <w:rPr>
          <w:rFonts w:eastAsia="Arial" w:cs="Arial"/>
          <w:color w:val="000000"/>
          <w:szCs w:val="16"/>
        </w:rPr>
      </w:pPr>
      <w:bookmarkStart w:id="24" w:name="_Toc176420569"/>
      <w:r>
        <w:t xml:space="preserve">Figura </w:t>
      </w:r>
      <w:r>
        <w:fldChar w:fldCharType="begin"/>
      </w:r>
      <w:r>
        <w:instrText xml:space="preserve"> SEQ Figura \* ARABIC </w:instrText>
      </w:r>
      <w:r>
        <w:fldChar w:fldCharType="separate"/>
      </w:r>
      <w:r w:rsidR="0047714C">
        <w:rPr>
          <w:noProof/>
        </w:rPr>
        <w:t>2</w:t>
      </w:r>
      <w:r>
        <w:fldChar w:fldCharType="end"/>
      </w:r>
      <w:r>
        <w:t xml:space="preserve">. </w:t>
      </w:r>
      <w:r w:rsidR="009A2A4C">
        <w:rPr>
          <w:rFonts w:eastAsia="Arial" w:cs="Arial"/>
          <w:color w:val="000000"/>
          <w:szCs w:val="16"/>
        </w:rPr>
        <w:t>Tablero de celdas de seccionamiento.</w:t>
      </w:r>
      <w:bookmarkEnd w:id="24"/>
    </w:p>
    <w:p w14:paraId="345D10DB" w14:textId="77777777" w:rsidR="00D211AC" w:rsidRPr="00D211AC" w:rsidRDefault="00D211AC" w:rsidP="00D211AC">
      <w:pPr>
        <w:rPr>
          <w:lang w:val="es-ES_tradnl"/>
        </w:rPr>
      </w:pPr>
    </w:p>
    <w:p w14:paraId="3DA42953" w14:textId="77777777" w:rsidR="007462F0" w:rsidRDefault="009A2A4C">
      <w:pPr>
        <w:jc w:val="both"/>
        <w:rPr>
          <w:rFonts w:ascii="Gadugi" w:eastAsia="Gadugi" w:hAnsi="Gadugi" w:cs="Gadugi"/>
          <w:color w:val="000000"/>
        </w:rPr>
      </w:pPr>
      <w:r>
        <w:rPr>
          <w:rFonts w:ascii="Gadugi" w:eastAsia="Gadugi" w:hAnsi="Gadugi" w:cs="Gadugi"/>
          <w:color w:val="000000"/>
        </w:rPr>
        <w:t>Los tableros pueden contener seccionadores sencillos, sólo de operación manual o seccionadores con fusibles abren automáticamente las tres fases cuando se abre algunos de los fusibles por sobrecarga o cortocircuito. Los tableros de celdas de seccionamiento en referencia a la Central Eléctrica de Generación Distribuida tienen la función de aislar y proteger los transformadores elevadores (baja a media tensión) y/o los circuitos que provienen de la red utilitaria.</w:t>
      </w:r>
    </w:p>
    <w:p w14:paraId="5DD22600" w14:textId="0C864B7D" w:rsidR="002815F9" w:rsidRDefault="002815F9">
      <w:pPr>
        <w:rPr>
          <w:rFonts w:ascii="Gadugi" w:eastAsia="Gadugi" w:hAnsi="Gadugi" w:cs="Gadugi"/>
          <w:color w:val="000000"/>
        </w:rPr>
      </w:pPr>
      <w:r>
        <w:rPr>
          <w:rFonts w:ascii="Gadugi" w:eastAsia="Gadugi" w:hAnsi="Gadugi" w:cs="Gadugi"/>
          <w:color w:val="000000"/>
        </w:rPr>
        <w:br w:type="page"/>
      </w:r>
    </w:p>
    <w:p w14:paraId="6208A776" w14:textId="71A6DC8B" w:rsidR="007462F0" w:rsidRDefault="009A2A4C">
      <w:pPr>
        <w:pStyle w:val="Ttulo1"/>
        <w:numPr>
          <w:ilvl w:val="0"/>
          <w:numId w:val="12"/>
        </w:numPr>
        <w:spacing w:after="240" w:line="259" w:lineRule="auto"/>
        <w:ind w:left="357" w:hanging="357"/>
        <w:rPr>
          <w:rFonts w:ascii="Gadugi" w:eastAsia="Gadugi" w:hAnsi="Gadugi" w:cs="Gadugi"/>
          <w:b/>
          <w:color w:val="4472C4"/>
          <w:sz w:val="22"/>
          <w:szCs w:val="22"/>
          <w:u w:val="none"/>
        </w:rPr>
      </w:pPr>
      <w:bookmarkStart w:id="25" w:name="_Toc188539088"/>
      <w:r>
        <w:rPr>
          <w:rFonts w:ascii="Gadugi" w:eastAsia="Gadugi" w:hAnsi="Gadugi" w:cs="Gadugi"/>
          <w:b/>
          <w:color w:val="4472C4"/>
          <w:sz w:val="22"/>
          <w:szCs w:val="22"/>
          <w:u w:val="none"/>
        </w:rPr>
        <w:lastRenderedPageBreak/>
        <w:t>TABLEROS ELECTRICOS DE POTENCIA DE LA CENTRAL DE GENERACION</w:t>
      </w:r>
      <w:bookmarkEnd w:id="25"/>
    </w:p>
    <w:p w14:paraId="7792FE3A" w14:textId="2967B04A" w:rsidR="007462F0" w:rsidRDefault="009A2A4C">
      <w:pPr>
        <w:pStyle w:val="Ttulo2"/>
        <w:spacing w:after="120"/>
        <w:ind w:left="720" w:hanging="720"/>
        <w:rPr>
          <w:rFonts w:ascii="Gadugi" w:eastAsia="Gadugi" w:hAnsi="Gadugi" w:cs="Gadugi"/>
          <w:color w:val="4472C4"/>
          <w:sz w:val="22"/>
          <w:szCs w:val="22"/>
        </w:rPr>
      </w:pPr>
      <w:bookmarkStart w:id="26" w:name="_Toc188539089"/>
      <w:r>
        <w:rPr>
          <w:rFonts w:ascii="Gadugi" w:eastAsia="Gadugi" w:hAnsi="Gadugi" w:cs="Gadugi"/>
          <w:color w:val="4472C4"/>
          <w:sz w:val="22"/>
          <w:szCs w:val="22"/>
        </w:rPr>
        <w:t>5.1.</w:t>
      </w:r>
      <w:r>
        <w:rPr>
          <w:rFonts w:ascii="Gadugi" w:eastAsia="Gadugi" w:hAnsi="Gadugi" w:cs="Gadugi"/>
          <w:color w:val="4472C4"/>
          <w:sz w:val="22"/>
          <w:szCs w:val="22"/>
        </w:rPr>
        <w:tab/>
        <w:t>ACOMETIDAS ELECTRICAS DE POTENCIA</w:t>
      </w:r>
      <w:bookmarkEnd w:id="26"/>
    </w:p>
    <w:p w14:paraId="5D2FE9C9" w14:textId="77777777" w:rsidR="007462F0" w:rsidRDefault="009A2A4C">
      <w:pPr>
        <w:jc w:val="both"/>
        <w:rPr>
          <w:rFonts w:ascii="Gadugi" w:eastAsia="Gadugi" w:hAnsi="Gadugi" w:cs="Gadugi"/>
          <w:color w:val="000000"/>
        </w:rPr>
      </w:pPr>
      <w:r>
        <w:rPr>
          <w:rFonts w:ascii="Gadugi" w:eastAsia="Gadugi" w:hAnsi="Gadugi" w:cs="Gadugi"/>
          <w:color w:val="000000"/>
        </w:rPr>
        <w:t>Las acometidas eléctricas están constituidas por conductores y sus canalizaciones. En el ámbito de la Centrales Eléctricas de Generación Distribuidas son más usadas las acometidas superficiales y las acometidas subterráneas.</w:t>
      </w:r>
    </w:p>
    <w:p w14:paraId="1228ACFF" w14:textId="77777777" w:rsidR="007462F0" w:rsidRDefault="007462F0">
      <w:pPr>
        <w:jc w:val="both"/>
        <w:rPr>
          <w:rFonts w:ascii="Gadugi" w:eastAsia="Gadugi" w:hAnsi="Gadugi" w:cs="Gadugi"/>
          <w:color w:val="000000"/>
        </w:rPr>
      </w:pPr>
    </w:p>
    <w:p w14:paraId="3D817878" w14:textId="5FDF6A5C" w:rsidR="007462F0" w:rsidRDefault="009A2A4C">
      <w:pPr>
        <w:pStyle w:val="Ttulo3"/>
        <w:rPr>
          <w:rFonts w:ascii="Gadugi" w:eastAsia="Gadugi" w:hAnsi="Gadugi" w:cs="Gadugi"/>
          <w:color w:val="000000"/>
          <w:sz w:val="22"/>
          <w:szCs w:val="22"/>
        </w:rPr>
      </w:pPr>
      <w:bookmarkStart w:id="27" w:name="_Toc188539090"/>
      <w:r>
        <w:rPr>
          <w:rFonts w:ascii="Gadugi" w:eastAsia="Gadugi" w:hAnsi="Gadugi" w:cs="Gadugi"/>
          <w:color w:val="000000"/>
          <w:sz w:val="22"/>
          <w:szCs w:val="22"/>
        </w:rPr>
        <w:t>5.1.1.</w:t>
      </w:r>
      <w:r>
        <w:rPr>
          <w:rFonts w:ascii="Gadugi" w:eastAsia="Gadugi" w:hAnsi="Gadugi" w:cs="Gadugi"/>
          <w:color w:val="000000"/>
          <w:sz w:val="22"/>
          <w:szCs w:val="22"/>
        </w:rPr>
        <w:tab/>
        <w:t>Acometida Subterránea</w:t>
      </w:r>
      <w:bookmarkEnd w:id="27"/>
    </w:p>
    <w:p w14:paraId="2AF77886" w14:textId="77777777" w:rsidR="007462F0" w:rsidRDefault="009A2A4C">
      <w:pPr>
        <w:jc w:val="both"/>
        <w:rPr>
          <w:rFonts w:ascii="Gadugi" w:eastAsia="Gadugi" w:hAnsi="Gadugi" w:cs="Gadugi"/>
          <w:color w:val="000000"/>
        </w:rPr>
      </w:pPr>
      <w:r>
        <w:rPr>
          <w:rFonts w:ascii="Gadugi" w:eastAsia="Gadugi" w:hAnsi="Gadugi" w:cs="Gadugi"/>
          <w:color w:val="000000"/>
        </w:rPr>
        <w:t>Las acometidas subterráneas son las más utilizadas en ambientes exteriores, aunque en Centrales Eléctricas se utilizan igualmente en ambientes interiores. Pueden catalogarse como A. - Acometidas en Bancadas (en tuberías metálicas o PVC, embutida en concreto con base de piedra o arena) o B.- Acometidas en canal o trinchera (foso rectangular con tapa de concreto o metálica, con fondo de cemento con desagües). La acometida en bancada de acuerdo con el Código Eléctrico Colombiano NTC 2050 y otras normas internacionales, debe tener cada cierta distancia cajas de paso y pueden ser usadas en baja o media tensión. Las acometidas en canal o trinchera no podrán ser usadas en media tensión</w:t>
      </w:r>
    </w:p>
    <w:p w14:paraId="72D779DA" w14:textId="77777777" w:rsidR="007462F0" w:rsidRDefault="007462F0">
      <w:pPr>
        <w:jc w:val="both"/>
        <w:rPr>
          <w:rFonts w:ascii="Gadugi" w:eastAsia="Gadugi" w:hAnsi="Gadugi" w:cs="Gadugi"/>
          <w:color w:val="000000"/>
        </w:rPr>
      </w:pPr>
    </w:p>
    <w:p w14:paraId="4F6AA3D8" w14:textId="19003AB1" w:rsidR="007462F0" w:rsidRDefault="009A2A4C">
      <w:pPr>
        <w:pStyle w:val="Ttulo2"/>
        <w:spacing w:after="120"/>
        <w:ind w:left="720" w:hanging="720"/>
        <w:rPr>
          <w:rFonts w:ascii="Gadugi" w:eastAsia="Gadugi" w:hAnsi="Gadugi" w:cs="Gadugi"/>
          <w:color w:val="4472C4"/>
          <w:sz w:val="22"/>
          <w:szCs w:val="22"/>
        </w:rPr>
      </w:pPr>
      <w:bookmarkStart w:id="28" w:name="_Toc188539091"/>
      <w:r>
        <w:rPr>
          <w:rFonts w:ascii="Gadugi" w:eastAsia="Gadugi" w:hAnsi="Gadugi" w:cs="Gadugi"/>
          <w:color w:val="4472C4"/>
          <w:sz w:val="22"/>
          <w:szCs w:val="22"/>
        </w:rPr>
        <w:t>5.2.</w:t>
      </w:r>
      <w:r>
        <w:rPr>
          <w:rFonts w:ascii="Gadugi" w:eastAsia="Gadugi" w:hAnsi="Gadugi" w:cs="Gadugi"/>
          <w:color w:val="4472C4"/>
          <w:sz w:val="22"/>
          <w:szCs w:val="22"/>
        </w:rPr>
        <w:tab/>
        <w:t>SUBESTACIONES ELECTRICAS DE TRANSFORMACION</w:t>
      </w:r>
      <w:bookmarkEnd w:id="28"/>
    </w:p>
    <w:p w14:paraId="491C74DA" w14:textId="77777777" w:rsidR="007462F0" w:rsidRDefault="009A2A4C">
      <w:pPr>
        <w:jc w:val="both"/>
        <w:rPr>
          <w:rFonts w:ascii="Gadugi" w:eastAsia="Gadugi" w:hAnsi="Gadugi" w:cs="Gadugi"/>
          <w:color w:val="000000"/>
        </w:rPr>
      </w:pPr>
      <w:r>
        <w:rPr>
          <w:rFonts w:ascii="Gadugi" w:eastAsia="Gadugi" w:hAnsi="Gadugi" w:cs="Gadugi"/>
          <w:color w:val="000000"/>
        </w:rPr>
        <w:t>La aplicación eficiente de la energía eléctrica se ha logrado por el uso del transformador eléctrico. Por lo general  debido a factores de ambiente (ruido, polución, espacio) o la ubicación  favorable para la producción de la energía primaria (hídrica, eólica o  aducciones de gas) los sitios en que se produce la energía eléctrica están  alejados de los sitios de consumo, por lo que para evitar la perdidas de tensión  por el efecto joule que se presenta por la resistividad de los conductores en la transmisión de grandes bloques de corrientes de energía eléctrica, en el sitio de generación (Central Eléctrica de  Generación o Estación Eléctrica) se eleva la tensión, para luego transpórtala y  cerca del lugar de consumo reducirla a los niveles de tensión de aplicación a  los dispositivos consumidores. Esta reducción de tensión se realiza en la “Subestación Eléctrica de Transformación" denominada "Subestación Eléctrica". El término también se aplica comúnmente a los sistemas de transformación donde se reducen los niveles de tensión así sea para derivar en dos o más ramales y continuar el proceso de transportación (transmisión) hacia otros lugares donde a través de otras subestaciones se reduzcan a los niveles de tensión de aplicación para los consumidores.</w:t>
      </w:r>
    </w:p>
    <w:p w14:paraId="32A0E0D0" w14:textId="38D86806" w:rsidR="007462F0" w:rsidRDefault="009A2A4C">
      <w:pPr>
        <w:pStyle w:val="Ttulo2"/>
        <w:spacing w:after="120"/>
        <w:ind w:left="720" w:hanging="720"/>
        <w:rPr>
          <w:rFonts w:ascii="Gadugi" w:eastAsia="Gadugi" w:hAnsi="Gadugi" w:cs="Gadugi"/>
          <w:color w:val="4472C4"/>
          <w:sz w:val="22"/>
          <w:szCs w:val="22"/>
        </w:rPr>
      </w:pPr>
      <w:bookmarkStart w:id="29" w:name="_Toc188539092"/>
      <w:r>
        <w:rPr>
          <w:rFonts w:ascii="Gadugi" w:eastAsia="Gadugi" w:hAnsi="Gadugi" w:cs="Gadugi"/>
          <w:color w:val="4472C4"/>
          <w:sz w:val="22"/>
          <w:szCs w:val="22"/>
        </w:rPr>
        <w:lastRenderedPageBreak/>
        <w:t>5.3.</w:t>
      </w:r>
      <w:r>
        <w:rPr>
          <w:rFonts w:ascii="Gadugi" w:eastAsia="Gadugi" w:hAnsi="Gadugi" w:cs="Gadugi"/>
          <w:color w:val="4472C4"/>
          <w:sz w:val="22"/>
          <w:szCs w:val="22"/>
        </w:rPr>
        <w:tab/>
        <w:t>SISTEMA DE PUESTA TIERRA</w:t>
      </w:r>
      <w:bookmarkEnd w:id="29"/>
    </w:p>
    <w:p w14:paraId="60DD4F25" w14:textId="77777777" w:rsidR="007462F0" w:rsidRDefault="009A2A4C">
      <w:pPr>
        <w:jc w:val="both"/>
        <w:rPr>
          <w:rFonts w:ascii="Gadugi" w:eastAsia="Gadugi" w:hAnsi="Gadugi" w:cs="Gadugi"/>
          <w:color w:val="000000"/>
        </w:rPr>
      </w:pPr>
      <w:r>
        <w:rPr>
          <w:rFonts w:ascii="Gadugi" w:eastAsia="Gadugi" w:hAnsi="Gadugi" w:cs="Gadugi"/>
          <w:color w:val="000000"/>
        </w:rPr>
        <w:t>Con el propósito de garantizar que cualquier cortocircuito o contacto fortuito accidental de una o varias fases a la carcasa del generador, gabinete de un tablero, blindaje de cualquier equipo o canalización de un conductor, pueda ser drenado y despejado inmediatamente sin poner en riesgos a las personas que operan el sistema o que están cercanas al mismo, al igual que salvaguardar los equipos eléctricos y electrónicos que son muy vulnerables a tensiones o potenciales que les puedan causar daños irreversibles, es necesario y obligatorio que en toda instalación eléctrica tanto del sistema eléctrico del o los generadores (Central Eléctrica de Generación Distribuida) como en el sistema eléctrico consumidor (cargas), se deba instalar un "Sistema de Puesta a Tierra (SPAT)" que haga que cualquier nivel de potencial o tensión que se produzca en las partes metálicas o conductores como las carcasas, gabinetes o blindajes de los dispositivos de producción (generadores) o consumo (cargas) y/o blindajes de conductores de energía eléctrica pueda ser drenado de manera rápida e igualado al potencial cero del sistema que suministra la misma.</w:t>
      </w:r>
    </w:p>
    <w:p w14:paraId="25323880" w14:textId="77777777" w:rsidR="007462F0" w:rsidRDefault="009A2A4C">
      <w:pPr>
        <w:jc w:val="both"/>
        <w:rPr>
          <w:rFonts w:ascii="Gadugi" w:eastAsia="Gadugi" w:hAnsi="Gadugi" w:cs="Gadugi"/>
          <w:color w:val="000000"/>
        </w:rPr>
      </w:pPr>
      <w:r>
        <w:rPr>
          <w:rFonts w:ascii="Gadugi" w:eastAsia="Gadugi" w:hAnsi="Gadugi" w:cs="Gadugi"/>
          <w:color w:val="000000"/>
        </w:rPr>
        <w:t>El correcto funcionamiento del sistema de puesta a tierra en los dispositivos suplidores de energía eléctrica como la central eléctrica de generación distribuida y/o los transformadores de la subestación, así como en los tableros eléctricos, los puntos de fuerza y tomacorrientes es vital para garantizar que el enlace equipotencial del sistema de puesta a tierra operará dentro de los rangos para lo cual fue diseñado, ya que el principal riesgo que se presenta por cualquier cortocircuito o contacto fortuito accidental de una fase o varias fases a la carcasa del generador, gabinete de un tablero, blindaje o canalización de un conductor o un electrodoméstico es la probabilidad de que una persona toque la parte metálica o conductora de energía eléctrica, la cual por la falla presentada ahora estará a un potencial (que pueda afectar la salud de la persona) con respecto al piso (suelo) donde está parada la persona. Pero si se garantiza un buen enlace equipotencial la parte metálica (del electrodoméstico, gabinete, etc.) tenderá a tener el mismo potencial que el neutro del dispositivo de suministro (generador o transformador), por lo que su tendencia será a cero.</w:t>
      </w:r>
    </w:p>
    <w:p w14:paraId="12AE5C39" w14:textId="77777777" w:rsidR="007462F0" w:rsidRDefault="009A2A4C">
      <w:pPr>
        <w:jc w:val="both"/>
        <w:rPr>
          <w:rFonts w:ascii="Gadugi" w:eastAsia="Gadugi" w:hAnsi="Gadugi" w:cs="Gadugi"/>
          <w:color w:val="000000"/>
        </w:rPr>
      </w:pPr>
      <w:r>
        <w:rPr>
          <w:rFonts w:ascii="Gadugi" w:eastAsia="Gadugi" w:hAnsi="Gadugi" w:cs="Gadugi"/>
          <w:color w:val="000000"/>
        </w:rPr>
        <w:t>Para lograr el enlace equipotencial y que el sistema de puesta a tierra sea efectivo habrá que conectar el neutro (del generador o transformador) a la masa (punto referencia del sistema de puesta a tierra), esto puede hacerse de dos formas: A.- Sólidamente conectado y directamente a tierra o B.- Conectado a tierra a través de una reactancia que pudiese estar constituida por una resistencia o inductancia o la combinación de ambas.</w:t>
      </w:r>
    </w:p>
    <w:p w14:paraId="4614A264" w14:textId="77777777" w:rsidR="007462F0" w:rsidRDefault="009A2A4C">
      <w:pPr>
        <w:jc w:val="both"/>
        <w:rPr>
          <w:rFonts w:ascii="Gadugi" w:eastAsia="Gadugi" w:hAnsi="Gadugi" w:cs="Gadugi"/>
          <w:color w:val="000000"/>
        </w:rPr>
      </w:pPr>
      <w:r>
        <w:rPr>
          <w:rFonts w:ascii="Gadugi" w:eastAsia="Gadugi" w:hAnsi="Gadugi" w:cs="Gadugi"/>
          <w:color w:val="000000"/>
        </w:rPr>
        <w:lastRenderedPageBreak/>
        <w:t xml:space="preserve">Es importante resaltar que el diseño y la construcción de los sistemas de puesta a tierra deberá cumplir una serie de normas para garantizar que cumplirá su finalidad, algunas de estas normas son: NTC 20 50 “Norma técnica colombiana”, RETIE “Reglamento Técnico de Instalaciones Eléctricas”, IEEE </w:t>
      </w:r>
      <w:proofErr w:type="spellStart"/>
      <w:r>
        <w:rPr>
          <w:rFonts w:ascii="Gadugi" w:eastAsia="Gadugi" w:hAnsi="Gadugi" w:cs="Gadugi"/>
          <w:color w:val="000000"/>
        </w:rPr>
        <w:t>Std</w:t>
      </w:r>
      <w:proofErr w:type="spellEnd"/>
      <w:r>
        <w:rPr>
          <w:rFonts w:ascii="Gadugi" w:eastAsia="Gadugi" w:hAnsi="Gadugi" w:cs="Gadugi"/>
          <w:color w:val="000000"/>
        </w:rPr>
        <w:t xml:space="preserve"> 80 – 81 “</w:t>
      </w:r>
      <w:proofErr w:type="spellStart"/>
      <w:r>
        <w:rPr>
          <w:rFonts w:ascii="Gadugi" w:eastAsia="Gadugi" w:hAnsi="Gadugi" w:cs="Gadugi"/>
          <w:color w:val="000000"/>
        </w:rPr>
        <w:t>Institute</w:t>
      </w:r>
      <w:proofErr w:type="spellEnd"/>
      <w:r>
        <w:rPr>
          <w:rFonts w:ascii="Gadugi" w:eastAsia="Gadugi" w:hAnsi="Gadugi" w:cs="Gadugi"/>
          <w:color w:val="000000"/>
        </w:rPr>
        <w:t xml:space="preserve"> </w:t>
      </w:r>
      <w:proofErr w:type="spellStart"/>
      <w:r>
        <w:rPr>
          <w:rFonts w:ascii="Gadugi" w:eastAsia="Gadugi" w:hAnsi="Gadugi" w:cs="Gadugi"/>
          <w:color w:val="000000"/>
        </w:rPr>
        <w:t>of</w:t>
      </w:r>
      <w:proofErr w:type="spellEnd"/>
      <w:r>
        <w:rPr>
          <w:rFonts w:ascii="Gadugi" w:eastAsia="Gadugi" w:hAnsi="Gadugi" w:cs="Gadugi"/>
          <w:color w:val="000000"/>
        </w:rPr>
        <w:t xml:space="preserve"> </w:t>
      </w:r>
      <w:proofErr w:type="spellStart"/>
      <w:r>
        <w:rPr>
          <w:rFonts w:ascii="Gadugi" w:eastAsia="Gadugi" w:hAnsi="Gadugi" w:cs="Gadugi"/>
          <w:color w:val="000000"/>
        </w:rPr>
        <w:t>Electrical</w:t>
      </w:r>
      <w:proofErr w:type="spellEnd"/>
      <w:r>
        <w:rPr>
          <w:rFonts w:ascii="Gadugi" w:eastAsia="Gadugi" w:hAnsi="Gadugi" w:cs="Gadugi"/>
          <w:color w:val="000000"/>
        </w:rPr>
        <w:t xml:space="preserve"> and </w:t>
      </w:r>
      <w:proofErr w:type="spellStart"/>
      <w:r>
        <w:rPr>
          <w:rFonts w:ascii="Gadugi" w:eastAsia="Gadugi" w:hAnsi="Gadugi" w:cs="Gadugi"/>
          <w:color w:val="000000"/>
        </w:rPr>
        <w:t>Electronics</w:t>
      </w:r>
      <w:proofErr w:type="spellEnd"/>
      <w:r>
        <w:rPr>
          <w:rFonts w:ascii="Gadugi" w:eastAsia="Gadugi" w:hAnsi="Gadugi" w:cs="Gadugi"/>
          <w:color w:val="000000"/>
        </w:rPr>
        <w:t>” y otras.</w:t>
      </w:r>
    </w:p>
    <w:p w14:paraId="332A6E29" w14:textId="77777777" w:rsidR="004D1D36" w:rsidRDefault="004D1D36">
      <w:pPr>
        <w:jc w:val="both"/>
        <w:rPr>
          <w:rFonts w:ascii="Gadugi" w:eastAsia="Gadugi" w:hAnsi="Gadugi" w:cs="Gadugi"/>
          <w:color w:val="000000"/>
        </w:rPr>
      </w:pPr>
    </w:p>
    <w:p w14:paraId="3528DA26" w14:textId="611B9235" w:rsidR="007462F0" w:rsidRDefault="009A2A4C">
      <w:pPr>
        <w:pStyle w:val="Ttulo2"/>
        <w:spacing w:after="120"/>
        <w:ind w:left="720" w:hanging="720"/>
        <w:rPr>
          <w:rFonts w:ascii="Gadugi" w:eastAsia="Gadugi" w:hAnsi="Gadugi" w:cs="Gadugi"/>
          <w:color w:val="4472C4"/>
          <w:sz w:val="22"/>
          <w:szCs w:val="22"/>
        </w:rPr>
      </w:pPr>
      <w:bookmarkStart w:id="30" w:name="_Toc188539093"/>
      <w:r>
        <w:rPr>
          <w:rFonts w:ascii="Gadugi" w:eastAsia="Gadugi" w:hAnsi="Gadugi" w:cs="Gadugi"/>
          <w:color w:val="4472C4"/>
          <w:sz w:val="22"/>
          <w:szCs w:val="22"/>
        </w:rPr>
        <w:t>5.4.</w:t>
      </w:r>
      <w:r>
        <w:rPr>
          <w:rFonts w:ascii="Gadugi" w:eastAsia="Gadugi" w:hAnsi="Gadugi" w:cs="Gadugi"/>
          <w:color w:val="4472C4"/>
          <w:sz w:val="22"/>
          <w:szCs w:val="22"/>
        </w:rPr>
        <w:tab/>
        <w:t>OTRAS INSTALACIONES</w:t>
      </w:r>
      <w:bookmarkEnd w:id="30"/>
    </w:p>
    <w:p w14:paraId="3BB4A9B2" w14:textId="79C4E7E6" w:rsidR="007462F0" w:rsidRDefault="009A2A4C">
      <w:pPr>
        <w:pStyle w:val="Ttulo3"/>
        <w:rPr>
          <w:rFonts w:ascii="Gadugi" w:eastAsia="Gadugi" w:hAnsi="Gadugi" w:cs="Gadugi"/>
          <w:color w:val="000000"/>
          <w:sz w:val="22"/>
          <w:szCs w:val="22"/>
        </w:rPr>
      </w:pPr>
      <w:bookmarkStart w:id="31" w:name="_Toc188539094"/>
      <w:r>
        <w:rPr>
          <w:rFonts w:ascii="Gadugi" w:eastAsia="Gadugi" w:hAnsi="Gadugi" w:cs="Gadugi"/>
          <w:color w:val="000000"/>
          <w:sz w:val="22"/>
          <w:szCs w:val="22"/>
        </w:rPr>
        <w:t>5.4.1.</w:t>
      </w:r>
      <w:r>
        <w:rPr>
          <w:rFonts w:ascii="Gadugi" w:eastAsia="Gadugi" w:hAnsi="Gadugi" w:cs="Gadugi"/>
          <w:color w:val="000000"/>
          <w:sz w:val="22"/>
          <w:szCs w:val="22"/>
        </w:rPr>
        <w:tab/>
        <w:t>Sistema de protección contra incendios</w:t>
      </w:r>
      <w:bookmarkEnd w:id="31"/>
    </w:p>
    <w:p w14:paraId="1CDED853" w14:textId="77777777" w:rsidR="007462F0" w:rsidRDefault="009A2A4C">
      <w:pPr>
        <w:jc w:val="both"/>
        <w:rPr>
          <w:rFonts w:ascii="Gadugi" w:eastAsia="Gadugi" w:hAnsi="Gadugi" w:cs="Gadugi"/>
          <w:color w:val="000000"/>
        </w:rPr>
      </w:pPr>
      <w:r>
        <w:rPr>
          <w:rFonts w:ascii="Gadugi" w:eastAsia="Gadugi" w:hAnsi="Gadugi" w:cs="Gadugi"/>
          <w:color w:val="000000"/>
        </w:rPr>
        <w:t>Evitar que un conato de incendio se convierta en una verdadera tragedia es la principal función de los sistemas de protección contra incendio de la Central Eléctrica. El sistema de protección de incendio de la Central Eléctrica está constituido por un sistema de alarma.</w:t>
      </w:r>
    </w:p>
    <w:p w14:paraId="2C1DA6A5" w14:textId="77777777" w:rsidR="007462F0" w:rsidRDefault="007462F0">
      <w:pPr>
        <w:jc w:val="both"/>
        <w:rPr>
          <w:rFonts w:ascii="Gadugi" w:eastAsia="Gadugi" w:hAnsi="Gadugi" w:cs="Gadugi"/>
          <w:color w:val="000000"/>
        </w:rPr>
      </w:pPr>
    </w:p>
    <w:p w14:paraId="088ECE27" w14:textId="12014AEF" w:rsidR="007462F0" w:rsidRDefault="009A2A4C">
      <w:pPr>
        <w:pStyle w:val="Ttulo3"/>
        <w:rPr>
          <w:rFonts w:ascii="Gadugi" w:eastAsia="Gadugi" w:hAnsi="Gadugi" w:cs="Gadugi"/>
          <w:color w:val="000000"/>
          <w:sz w:val="22"/>
          <w:szCs w:val="22"/>
        </w:rPr>
      </w:pPr>
      <w:bookmarkStart w:id="32" w:name="_Toc188539095"/>
      <w:r>
        <w:rPr>
          <w:rFonts w:ascii="Gadugi" w:eastAsia="Gadugi" w:hAnsi="Gadugi" w:cs="Gadugi"/>
          <w:color w:val="000000"/>
          <w:sz w:val="22"/>
          <w:szCs w:val="22"/>
        </w:rPr>
        <w:t>5.4.2.</w:t>
      </w:r>
      <w:r>
        <w:rPr>
          <w:rFonts w:ascii="Gadugi" w:eastAsia="Gadugi" w:hAnsi="Gadugi" w:cs="Gadugi"/>
          <w:color w:val="000000"/>
          <w:sz w:val="22"/>
          <w:szCs w:val="22"/>
        </w:rPr>
        <w:tab/>
        <w:t>Criterios de exposición al riesgo de incendio en una central eléctrica</w:t>
      </w:r>
      <w:bookmarkEnd w:id="32"/>
    </w:p>
    <w:p w14:paraId="69876936" w14:textId="77777777" w:rsidR="007462F0" w:rsidRDefault="009A2A4C">
      <w:pPr>
        <w:jc w:val="both"/>
        <w:rPr>
          <w:rFonts w:ascii="Gadugi" w:eastAsia="Gadugi" w:hAnsi="Gadugi" w:cs="Gadugi"/>
          <w:color w:val="000000"/>
        </w:rPr>
      </w:pPr>
      <w:r>
        <w:rPr>
          <w:rFonts w:ascii="Gadugi" w:eastAsia="Gadugi" w:hAnsi="Gadugi" w:cs="Gadugi"/>
          <w:color w:val="000000"/>
        </w:rPr>
        <w:t>El análisis de exposición a los riesgos de incendio en una Central Eléctrica es la primera etapa del proceso para el diseño de un sistema de protección de incendio, ¿cuáles son esos riesgos?:</w:t>
      </w:r>
    </w:p>
    <w:p w14:paraId="0ADC1B8E" w14:textId="77777777" w:rsidR="007462F0" w:rsidRDefault="007462F0">
      <w:pPr>
        <w:jc w:val="both"/>
        <w:rPr>
          <w:rFonts w:ascii="Gadugi" w:eastAsia="Gadugi" w:hAnsi="Gadugi" w:cs="Gadugi"/>
          <w:color w:val="000000"/>
        </w:rPr>
      </w:pPr>
    </w:p>
    <w:p w14:paraId="3919CF62" w14:textId="77777777" w:rsidR="007462F0" w:rsidRPr="004D1D36" w:rsidRDefault="009A2A4C">
      <w:pPr>
        <w:widowControl w:val="0"/>
        <w:numPr>
          <w:ilvl w:val="0"/>
          <w:numId w:val="8"/>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 xml:space="preserve">El manejo y almacenamiento de los combustibles líquidos o gaseosos utilizados por el motor primario de los grupos electrógenos de la Central Eléctrica. </w:t>
      </w:r>
    </w:p>
    <w:p w14:paraId="2E35B04E" w14:textId="77777777" w:rsidR="007462F0" w:rsidRPr="004D1D36" w:rsidRDefault="009A2A4C">
      <w:pPr>
        <w:widowControl w:val="0"/>
        <w:numPr>
          <w:ilvl w:val="0"/>
          <w:numId w:val="8"/>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La disposición y escape de los gases calientes productos de la combustión en los motores de los grupos electrógenos.</w:t>
      </w:r>
    </w:p>
    <w:p w14:paraId="5CB961AC" w14:textId="77777777" w:rsidR="007462F0" w:rsidRPr="004D1D36" w:rsidRDefault="009A2A4C">
      <w:pPr>
        <w:widowControl w:val="0"/>
        <w:numPr>
          <w:ilvl w:val="0"/>
          <w:numId w:val="8"/>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Las condiciones de la instalación eléctrica de las fuentes de energía DC, cargadores de baterías y baterías de los sistemas de arranque de los grupos electrógenos (</w:t>
      </w:r>
      <w:proofErr w:type="spellStart"/>
      <w:r w:rsidRPr="004D1D36">
        <w:rPr>
          <w:rFonts w:ascii="Gadugi" w:eastAsia="Gadugi" w:hAnsi="Gadugi" w:cs="Gadugi"/>
          <w:color w:val="000000"/>
        </w:rPr>
        <w:t>motogeneradores</w:t>
      </w:r>
      <w:proofErr w:type="spellEnd"/>
      <w:r w:rsidRPr="004D1D36">
        <w:rPr>
          <w:rFonts w:ascii="Gadugi" w:eastAsia="Gadugi" w:hAnsi="Gadugi" w:cs="Gadugi"/>
          <w:color w:val="000000"/>
        </w:rPr>
        <w:t>).</w:t>
      </w:r>
    </w:p>
    <w:p w14:paraId="4EE4EC4F" w14:textId="77777777" w:rsidR="007462F0" w:rsidRPr="004D1D36" w:rsidRDefault="009A2A4C">
      <w:pPr>
        <w:widowControl w:val="0"/>
        <w:numPr>
          <w:ilvl w:val="0"/>
          <w:numId w:val="8"/>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Las condiciones de las instalaciones eléctricas de potencia en los generadores y tableros de distribución de potencia de la Central Eléctrica.</w:t>
      </w:r>
    </w:p>
    <w:p w14:paraId="3F4A70F6" w14:textId="77777777" w:rsidR="007462F0" w:rsidRPr="004D1D36" w:rsidRDefault="009A2A4C">
      <w:pPr>
        <w:widowControl w:val="0"/>
        <w:numPr>
          <w:ilvl w:val="0"/>
          <w:numId w:val="8"/>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 xml:space="preserve">Las condiciones del sistema de puesta a tierra de la Central Eléctrica. </w:t>
      </w:r>
    </w:p>
    <w:p w14:paraId="25DC542D" w14:textId="77777777" w:rsidR="007462F0" w:rsidRPr="004D1D36" w:rsidRDefault="009A2A4C">
      <w:pPr>
        <w:widowControl w:val="0"/>
        <w:numPr>
          <w:ilvl w:val="0"/>
          <w:numId w:val="8"/>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La conducta y aptitud de los operadores.</w:t>
      </w:r>
    </w:p>
    <w:p w14:paraId="10960EC7" w14:textId="77777777" w:rsidR="007462F0" w:rsidRDefault="007462F0">
      <w:pPr>
        <w:jc w:val="both"/>
        <w:rPr>
          <w:rFonts w:ascii="Gadugi" w:eastAsia="Gadugi" w:hAnsi="Gadugi" w:cs="Gadugi"/>
          <w:color w:val="000000"/>
        </w:rPr>
      </w:pPr>
    </w:p>
    <w:p w14:paraId="67C1A642" w14:textId="77777777" w:rsidR="007462F0" w:rsidRDefault="009A2A4C">
      <w:pPr>
        <w:jc w:val="both"/>
        <w:rPr>
          <w:rFonts w:ascii="Gadugi" w:eastAsia="Gadugi" w:hAnsi="Gadugi" w:cs="Gadugi"/>
          <w:color w:val="000000"/>
        </w:rPr>
      </w:pPr>
      <w:r>
        <w:rPr>
          <w:rFonts w:ascii="Gadugi" w:eastAsia="Gadugi" w:hAnsi="Gadugi" w:cs="Gadugi"/>
          <w:color w:val="000000"/>
        </w:rPr>
        <w:lastRenderedPageBreak/>
        <w:t>En estos escenarios de riesgo, el punto más importante es la planificación previa, donde se deberá realizar el diseño seguro y adecuado a las normas de seguridad, así como el correcto y oportuno adiestramiento de los operadores en cuanto a una conducta de seguridad.</w:t>
      </w:r>
    </w:p>
    <w:p w14:paraId="0B141423" w14:textId="77777777" w:rsidR="007462F0" w:rsidRDefault="007462F0">
      <w:pPr>
        <w:jc w:val="both"/>
        <w:rPr>
          <w:rFonts w:ascii="Gadugi" w:eastAsia="Gadugi" w:hAnsi="Gadugi" w:cs="Gadugi"/>
          <w:color w:val="000000"/>
        </w:rPr>
      </w:pPr>
    </w:p>
    <w:p w14:paraId="1C55343F" w14:textId="56A46759" w:rsidR="007462F0" w:rsidRDefault="009A2A4C">
      <w:pPr>
        <w:pStyle w:val="Ttulo3"/>
        <w:rPr>
          <w:rFonts w:ascii="Gadugi" w:eastAsia="Gadugi" w:hAnsi="Gadugi" w:cs="Gadugi"/>
          <w:color w:val="000000"/>
          <w:sz w:val="22"/>
          <w:szCs w:val="22"/>
        </w:rPr>
      </w:pPr>
      <w:bookmarkStart w:id="33" w:name="_Toc188539096"/>
      <w:r>
        <w:rPr>
          <w:rFonts w:ascii="Gadugi" w:eastAsia="Gadugi" w:hAnsi="Gadugi" w:cs="Gadugi"/>
          <w:color w:val="000000"/>
          <w:sz w:val="22"/>
          <w:szCs w:val="22"/>
        </w:rPr>
        <w:t>5.4.3.</w:t>
      </w:r>
      <w:r>
        <w:rPr>
          <w:rFonts w:ascii="Gadugi" w:eastAsia="Gadugi" w:hAnsi="Gadugi" w:cs="Gadugi"/>
          <w:color w:val="000000"/>
          <w:sz w:val="22"/>
          <w:szCs w:val="22"/>
        </w:rPr>
        <w:tab/>
        <w:t>Sistema de alarmas de incendio</w:t>
      </w:r>
      <w:bookmarkEnd w:id="33"/>
    </w:p>
    <w:p w14:paraId="0BC20AD7" w14:textId="77777777" w:rsidR="007462F0" w:rsidRDefault="009A2A4C">
      <w:pPr>
        <w:jc w:val="both"/>
        <w:rPr>
          <w:rFonts w:ascii="Gadugi" w:eastAsia="Gadugi" w:hAnsi="Gadugi" w:cs="Gadugi"/>
          <w:color w:val="000000"/>
        </w:rPr>
      </w:pPr>
      <w:r>
        <w:rPr>
          <w:rFonts w:ascii="Gadugi" w:eastAsia="Gadugi" w:hAnsi="Gadugi" w:cs="Gadugi"/>
          <w:color w:val="000000"/>
        </w:rPr>
        <w:t>El sistema de alarma de incendio de una Central Eléctrica de Generación está constituido por el panel o tablero central de monitoreo de alarmas de incendio, los detectores de incendio (pueden operar por temperatura y humo), las estaciones manuales (activadas por los operadores cuando comprueban un conato de incendio) y los dispositivos de anuncio de alarma (visibles y audibles).</w:t>
      </w:r>
    </w:p>
    <w:p w14:paraId="2E268531" w14:textId="77777777" w:rsidR="007462F0" w:rsidRDefault="009A2A4C">
      <w:pPr>
        <w:jc w:val="both"/>
        <w:rPr>
          <w:rFonts w:ascii="Gadugi" w:eastAsia="Gadugi" w:hAnsi="Gadugi" w:cs="Gadugi"/>
          <w:color w:val="000000"/>
        </w:rPr>
      </w:pPr>
      <w:r>
        <w:rPr>
          <w:rFonts w:ascii="Gadugi" w:eastAsia="Gadugi" w:hAnsi="Gadugi" w:cs="Gadugi"/>
          <w:color w:val="000000"/>
        </w:rPr>
        <w:t>El diseño, cálculo e instalación de los sistemas de alarmas de incendio en Centrales Eléctrica de Generación Distribuida está regulado por las siguientes normas: NFPA 30 "</w:t>
      </w:r>
      <w:proofErr w:type="spellStart"/>
      <w:r>
        <w:rPr>
          <w:rFonts w:ascii="Gadugi" w:eastAsia="Gadugi" w:hAnsi="Gadugi" w:cs="Gadugi"/>
          <w:color w:val="000000"/>
        </w:rPr>
        <w:t>Flammable</w:t>
      </w:r>
      <w:proofErr w:type="spellEnd"/>
      <w:r>
        <w:rPr>
          <w:rFonts w:ascii="Gadugi" w:eastAsia="Gadugi" w:hAnsi="Gadugi" w:cs="Gadugi"/>
          <w:color w:val="000000"/>
        </w:rPr>
        <w:t xml:space="preserve"> and Combustible </w:t>
      </w:r>
      <w:proofErr w:type="spellStart"/>
      <w:r>
        <w:rPr>
          <w:rFonts w:ascii="Gadugi" w:eastAsia="Gadugi" w:hAnsi="Gadugi" w:cs="Gadugi"/>
          <w:color w:val="000000"/>
        </w:rPr>
        <w:t>Liquids</w:t>
      </w:r>
      <w:proofErr w:type="spellEnd"/>
      <w:r>
        <w:rPr>
          <w:rFonts w:ascii="Gadugi" w:eastAsia="Gadugi" w:hAnsi="Gadugi" w:cs="Gadugi"/>
          <w:color w:val="000000"/>
        </w:rPr>
        <w:t xml:space="preserve"> </w:t>
      </w:r>
      <w:proofErr w:type="spellStart"/>
      <w:r>
        <w:rPr>
          <w:rFonts w:ascii="Gadugi" w:eastAsia="Gadugi" w:hAnsi="Gadugi" w:cs="Gadugi"/>
          <w:color w:val="000000"/>
        </w:rPr>
        <w:t>Code</w:t>
      </w:r>
      <w:proofErr w:type="spellEnd"/>
      <w:r>
        <w:rPr>
          <w:rFonts w:ascii="Gadugi" w:eastAsia="Gadugi" w:hAnsi="Gadugi" w:cs="Gadugi"/>
          <w:color w:val="000000"/>
        </w:rPr>
        <w:t xml:space="preserve">", NFPA 72 "Fire </w:t>
      </w:r>
      <w:proofErr w:type="spellStart"/>
      <w:r>
        <w:rPr>
          <w:rFonts w:ascii="Gadugi" w:eastAsia="Gadugi" w:hAnsi="Gadugi" w:cs="Gadugi"/>
          <w:color w:val="000000"/>
        </w:rPr>
        <w:t>Alarm</w:t>
      </w:r>
      <w:proofErr w:type="spellEnd"/>
      <w:r>
        <w:rPr>
          <w:rFonts w:ascii="Gadugi" w:eastAsia="Gadugi" w:hAnsi="Gadugi" w:cs="Gadugi"/>
          <w:color w:val="000000"/>
        </w:rPr>
        <w:t xml:space="preserve"> </w:t>
      </w:r>
      <w:proofErr w:type="spellStart"/>
      <w:r>
        <w:rPr>
          <w:rFonts w:ascii="Gadugi" w:eastAsia="Gadugi" w:hAnsi="Gadugi" w:cs="Gadugi"/>
          <w:color w:val="000000"/>
        </w:rPr>
        <w:t>Code</w:t>
      </w:r>
      <w:proofErr w:type="spellEnd"/>
      <w:r>
        <w:rPr>
          <w:rFonts w:ascii="Gadugi" w:eastAsia="Gadugi" w:hAnsi="Gadugi" w:cs="Gadugi"/>
          <w:color w:val="000000"/>
        </w:rPr>
        <w:t xml:space="preserve"> </w:t>
      </w:r>
      <w:proofErr w:type="spellStart"/>
      <w:r>
        <w:rPr>
          <w:rFonts w:ascii="Gadugi" w:eastAsia="Gadugi" w:hAnsi="Gadugi" w:cs="Gadugi"/>
          <w:color w:val="000000"/>
        </w:rPr>
        <w:t>Handbook</w:t>
      </w:r>
      <w:proofErr w:type="spellEnd"/>
      <w:r>
        <w:rPr>
          <w:rFonts w:ascii="Gadugi" w:eastAsia="Gadugi" w:hAnsi="Gadugi" w:cs="Gadugi"/>
          <w:color w:val="000000"/>
        </w:rPr>
        <w:t xml:space="preserve">" y NFPA 101 "National </w:t>
      </w:r>
      <w:proofErr w:type="spellStart"/>
      <w:r>
        <w:rPr>
          <w:rFonts w:ascii="Gadugi" w:eastAsia="Gadugi" w:hAnsi="Gadugi" w:cs="Gadugi"/>
          <w:color w:val="000000"/>
        </w:rPr>
        <w:t>Life</w:t>
      </w:r>
      <w:proofErr w:type="spellEnd"/>
      <w:r>
        <w:rPr>
          <w:rFonts w:ascii="Gadugi" w:eastAsia="Gadugi" w:hAnsi="Gadugi" w:cs="Gadugi"/>
          <w:color w:val="000000"/>
        </w:rPr>
        <w:t xml:space="preserve"> safety </w:t>
      </w:r>
      <w:proofErr w:type="spellStart"/>
      <w:r>
        <w:rPr>
          <w:rFonts w:ascii="Gadugi" w:eastAsia="Gadugi" w:hAnsi="Gadugi" w:cs="Gadugi"/>
          <w:color w:val="000000"/>
        </w:rPr>
        <w:t>Code</w:t>
      </w:r>
      <w:proofErr w:type="spellEnd"/>
      <w:r>
        <w:rPr>
          <w:rFonts w:ascii="Gadugi" w:eastAsia="Gadugi" w:hAnsi="Gadugi" w:cs="Gadugi"/>
          <w:color w:val="000000"/>
        </w:rPr>
        <w:t>".</w:t>
      </w:r>
    </w:p>
    <w:p w14:paraId="16D06D4A" w14:textId="77777777" w:rsidR="007462F0" w:rsidRDefault="007462F0">
      <w:pPr>
        <w:jc w:val="both"/>
        <w:rPr>
          <w:rFonts w:ascii="Gadugi" w:eastAsia="Gadugi" w:hAnsi="Gadugi" w:cs="Gadugi"/>
          <w:color w:val="000000"/>
        </w:rPr>
      </w:pPr>
    </w:p>
    <w:p w14:paraId="54FD641B" w14:textId="7C1DA7D5" w:rsidR="007462F0" w:rsidRDefault="009A2A4C">
      <w:pPr>
        <w:pStyle w:val="Ttulo3"/>
        <w:rPr>
          <w:rFonts w:ascii="Gadugi" w:eastAsia="Gadugi" w:hAnsi="Gadugi" w:cs="Gadugi"/>
          <w:color w:val="000000"/>
          <w:sz w:val="22"/>
          <w:szCs w:val="22"/>
        </w:rPr>
      </w:pPr>
      <w:bookmarkStart w:id="34" w:name="_Toc188539097"/>
      <w:r>
        <w:rPr>
          <w:rFonts w:ascii="Gadugi" w:eastAsia="Gadugi" w:hAnsi="Gadugi" w:cs="Gadugi"/>
          <w:color w:val="000000"/>
          <w:sz w:val="22"/>
          <w:szCs w:val="22"/>
        </w:rPr>
        <w:t>5.4.4.</w:t>
      </w:r>
      <w:r>
        <w:rPr>
          <w:rFonts w:ascii="Gadugi" w:eastAsia="Gadugi" w:hAnsi="Gadugi" w:cs="Gadugi"/>
          <w:color w:val="000000"/>
          <w:sz w:val="22"/>
          <w:szCs w:val="22"/>
        </w:rPr>
        <w:tab/>
        <w:t>Iluminación y tomas de fuerza</w:t>
      </w:r>
      <w:bookmarkEnd w:id="34"/>
    </w:p>
    <w:p w14:paraId="17F650CE" w14:textId="77777777" w:rsidR="007462F0" w:rsidRDefault="009A2A4C">
      <w:pPr>
        <w:jc w:val="both"/>
        <w:rPr>
          <w:rFonts w:ascii="Gadugi" w:eastAsia="Gadugi" w:hAnsi="Gadugi" w:cs="Gadugi"/>
          <w:color w:val="000000"/>
        </w:rPr>
      </w:pPr>
      <w:r>
        <w:rPr>
          <w:rFonts w:ascii="Gadugi" w:eastAsia="Gadugi" w:hAnsi="Gadugi" w:cs="Gadugi"/>
          <w:color w:val="000000"/>
        </w:rPr>
        <w:t xml:space="preserve">Las instalaciones eléctricas auxiliares de una Central Eléctrica de Generación Distribuida están compuestas por el sistema de iluminación y los puntos eléctricos de toma de fuerza y tomacorrientes de servicio. El suministro eléctrico de los puntos de iluminación y los de toma de fuerza y tomacorrientes provendrá de un </w:t>
      </w:r>
      <w:proofErr w:type="spellStart"/>
      <w:r>
        <w:rPr>
          <w:rFonts w:ascii="Gadugi" w:eastAsia="Gadugi" w:hAnsi="Gadugi" w:cs="Gadugi"/>
          <w:color w:val="000000"/>
        </w:rPr>
        <w:t>subtablero</w:t>
      </w:r>
      <w:proofErr w:type="spellEnd"/>
      <w:r>
        <w:rPr>
          <w:rFonts w:ascii="Gadugi" w:eastAsia="Gadugi" w:hAnsi="Gadugi" w:cs="Gadugi"/>
          <w:color w:val="000000"/>
        </w:rPr>
        <w:t xml:space="preserve"> de servicios auxiliares, el cual tendrá tantos circuitos trifásicos y monofásicos como requiera las instalaciones de la Central Eléctrica.</w:t>
      </w:r>
    </w:p>
    <w:p w14:paraId="5F869F03" w14:textId="77777777" w:rsidR="007462F0" w:rsidRDefault="007462F0">
      <w:pPr>
        <w:jc w:val="both"/>
        <w:rPr>
          <w:rFonts w:ascii="Gadugi" w:eastAsia="Gadugi" w:hAnsi="Gadugi" w:cs="Gadugi"/>
          <w:color w:val="000000"/>
        </w:rPr>
      </w:pPr>
    </w:p>
    <w:p w14:paraId="4A8F2E6D" w14:textId="77777777" w:rsidR="007462F0" w:rsidRDefault="009A2A4C">
      <w:pPr>
        <w:jc w:val="both"/>
        <w:rPr>
          <w:rFonts w:ascii="Gadugi" w:eastAsia="Gadugi" w:hAnsi="Gadugi" w:cs="Gadugi"/>
          <w:b/>
          <w:color w:val="000000"/>
        </w:rPr>
      </w:pPr>
      <w:r>
        <w:rPr>
          <w:rFonts w:ascii="Gadugi" w:eastAsia="Gadugi" w:hAnsi="Gadugi" w:cs="Gadugi"/>
          <w:b/>
          <w:color w:val="000000"/>
        </w:rPr>
        <w:t xml:space="preserve">Iluminación </w:t>
      </w:r>
    </w:p>
    <w:p w14:paraId="71F4DA7F" w14:textId="77777777" w:rsidR="007462F0" w:rsidRDefault="009A2A4C">
      <w:pPr>
        <w:jc w:val="both"/>
        <w:rPr>
          <w:rFonts w:ascii="Gadugi" w:eastAsia="Gadugi" w:hAnsi="Gadugi" w:cs="Gadugi"/>
          <w:color w:val="000000"/>
        </w:rPr>
      </w:pPr>
      <w:r>
        <w:rPr>
          <w:rFonts w:ascii="Gadugi" w:eastAsia="Gadugi" w:hAnsi="Gadugi" w:cs="Gadugi"/>
          <w:color w:val="000000"/>
        </w:rPr>
        <w:t>Para efectos del diseño e instalación del sistema de iluminación interna de la central eléctrica se cumplirán los siguientes requisitos: A.- La composición espectral de la luz deberá ser adecuada a la tarea a realizar, B.- El efecto estroboscopio será evitado, C- La iluminación será, adecuada a la tarea a efectuar, teniendo en cuenta el mínimo tamaño a percibir, la reflexión de los elementos, el contraste y el movimiento, D.- Las fuentes de iluminación no deberán producir deslumbramiento, directo o reflejado, E.- La uniformidad de la iluminación, así como las sombras y contraste, serán adecuados a la tarea que se realice.</w:t>
      </w:r>
    </w:p>
    <w:p w14:paraId="596F1E3D" w14:textId="77777777" w:rsidR="007462F0" w:rsidRDefault="009A2A4C">
      <w:pPr>
        <w:jc w:val="both"/>
        <w:rPr>
          <w:rFonts w:ascii="Gadugi" w:eastAsia="Gadugi" w:hAnsi="Gadugi" w:cs="Gadugi"/>
          <w:color w:val="000000"/>
        </w:rPr>
      </w:pPr>
      <w:r>
        <w:rPr>
          <w:rFonts w:ascii="Gadugi" w:eastAsia="Gadugi" w:hAnsi="Gadugi" w:cs="Gadugi"/>
          <w:color w:val="000000"/>
        </w:rPr>
        <w:lastRenderedPageBreak/>
        <w:t>La iluminación de las periferias y sitios extremos a la Central Eléctrica deberá ser diseñada y calculada para lograr una buena observación y vigilancia visual para garantizar la seguridad de las instalaciones.</w:t>
      </w:r>
    </w:p>
    <w:p w14:paraId="16E7FDC7" w14:textId="77777777" w:rsidR="007462F0" w:rsidRDefault="007462F0">
      <w:pPr>
        <w:jc w:val="both"/>
        <w:rPr>
          <w:rFonts w:ascii="Gadugi" w:eastAsia="Gadugi" w:hAnsi="Gadugi" w:cs="Gadugi"/>
          <w:color w:val="000000"/>
        </w:rPr>
      </w:pPr>
    </w:p>
    <w:p w14:paraId="5CFF792F" w14:textId="18BC82CE" w:rsidR="007462F0" w:rsidRDefault="009A2A4C">
      <w:pPr>
        <w:jc w:val="both"/>
        <w:rPr>
          <w:rFonts w:ascii="Gadugi" w:eastAsia="Gadugi" w:hAnsi="Gadugi" w:cs="Gadugi"/>
          <w:b/>
          <w:color w:val="000000"/>
        </w:rPr>
      </w:pPr>
      <w:r>
        <w:rPr>
          <w:rFonts w:ascii="Gadugi" w:eastAsia="Gadugi" w:hAnsi="Gadugi" w:cs="Gadugi"/>
          <w:b/>
          <w:color w:val="000000"/>
        </w:rPr>
        <w:t>Tomas de fuerza y Tomacorrientes de servicios</w:t>
      </w:r>
    </w:p>
    <w:p w14:paraId="4FD8DB43" w14:textId="77777777" w:rsidR="007462F0" w:rsidRDefault="009A2A4C">
      <w:pPr>
        <w:jc w:val="both"/>
        <w:rPr>
          <w:rFonts w:ascii="Gadugi" w:eastAsia="Gadugi" w:hAnsi="Gadugi" w:cs="Gadugi"/>
          <w:color w:val="000000"/>
        </w:rPr>
      </w:pPr>
      <w:r>
        <w:rPr>
          <w:rFonts w:ascii="Gadugi" w:eastAsia="Gadugi" w:hAnsi="Gadugi" w:cs="Gadugi"/>
          <w:color w:val="000000"/>
        </w:rPr>
        <w:t>Los requerimientos de tomas de fuerza en una Central Eléctrica están condicionados por el tamaño y criticidad de la misma, no obstante, hay requerimientos mínimos de puntos de fuerza para equipos auxiliares que a continuación se describen:</w:t>
      </w:r>
    </w:p>
    <w:p w14:paraId="4D60755A" w14:textId="77777777" w:rsidR="007462F0" w:rsidRDefault="007462F0">
      <w:pPr>
        <w:jc w:val="both"/>
        <w:rPr>
          <w:rFonts w:ascii="Gadugi" w:eastAsia="Gadugi" w:hAnsi="Gadugi" w:cs="Gadugi"/>
          <w:color w:val="000000"/>
        </w:rPr>
      </w:pPr>
    </w:p>
    <w:p w14:paraId="0882D9A3" w14:textId="06A3759A" w:rsidR="007462F0" w:rsidRDefault="009A2A4C">
      <w:pPr>
        <w:jc w:val="both"/>
        <w:rPr>
          <w:rFonts w:ascii="Gadugi" w:eastAsia="Gadugi" w:hAnsi="Gadugi" w:cs="Gadugi"/>
          <w:color w:val="000000"/>
        </w:rPr>
      </w:pPr>
      <w:r>
        <w:rPr>
          <w:rFonts w:ascii="Gadugi" w:eastAsia="Gadugi" w:hAnsi="Gadugi" w:cs="Gadugi"/>
          <w:b/>
          <w:color w:val="000000"/>
        </w:rPr>
        <w:t>Cargador de Baterías</w:t>
      </w:r>
    </w:p>
    <w:p w14:paraId="1EE3F0D3" w14:textId="77777777" w:rsidR="007462F0" w:rsidRDefault="009A2A4C">
      <w:pPr>
        <w:jc w:val="both"/>
        <w:rPr>
          <w:rFonts w:ascii="Gadugi" w:eastAsia="Gadugi" w:hAnsi="Gadugi" w:cs="Gadugi"/>
          <w:color w:val="000000"/>
        </w:rPr>
      </w:pPr>
      <w:r>
        <w:rPr>
          <w:rFonts w:ascii="Gadugi" w:eastAsia="Gadugi" w:hAnsi="Gadugi" w:cs="Gadugi"/>
          <w:color w:val="000000"/>
        </w:rPr>
        <w:t xml:space="preserve">Cada uno de los grupos electrógenos rotativos deberá tener su cargador individual para el banco de baterías de arranque. </w:t>
      </w:r>
    </w:p>
    <w:p w14:paraId="299A8161" w14:textId="77777777" w:rsidR="007462F0" w:rsidRDefault="009A2A4C">
      <w:pPr>
        <w:jc w:val="both"/>
        <w:rPr>
          <w:rFonts w:ascii="Gadugi" w:eastAsia="Gadugi" w:hAnsi="Gadugi" w:cs="Gadugi"/>
          <w:color w:val="000000"/>
        </w:rPr>
      </w:pPr>
      <w:r>
        <w:rPr>
          <w:rFonts w:ascii="Gadugi" w:eastAsia="Gadugi" w:hAnsi="Gadugi" w:cs="Gadugi"/>
          <w:color w:val="000000"/>
        </w:rPr>
        <w:t>Por lo general el cargador de baterías es un cargador de flotabilidad o flotabilidad-igualación de poca corriente (20 amperios máximo), el punto eléctrico de alimentación deberá ser monofásico 120 o 220 V, con conductor AWG 12 y canalización adecuada (EMT) de diámetro mayor a ¾”.</w:t>
      </w:r>
    </w:p>
    <w:p w14:paraId="7F15F2E0" w14:textId="77777777" w:rsidR="007462F0" w:rsidRDefault="007462F0">
      <w:pPr>
        <w:jc w:val="both"/>
        <w:rPr>
          <w:rFonts w:ascii="Gadugi" w:eastAsia="Gadugi" w:hAnsi="Gadugi" w:cs="Gadugi"/>
          <w:color w:val="000000"/>
        </w:rPr>
      </w:pPr>
    </w:p>
    <w:p w14:paraId="08136C39" w14:textId="756F6821" w:rsidR="007462F0" w:rsidRDefault="009A2A4C">
      <w:pPr>
        <w:jc w:val="both"/>
        <w:rPr>
          <w:rFonts w:ascii="Gadugi" w:eastAsia="Gadugi" w:hAnsi="Gadugi" w:cs="Gadugi"/>
          <w:b/>
          <w:color w:val="000000"/>
        </w:rPr>
      </w:pPr>
      <w:r>
        <w:rPr>
          <w:rFonts w:ascii="Gadugi" w:eastAsia="Gadugi" w:hAnsi="Gadugi" w:cs="Gadugi"/>
          <w:b/>
          <w:color w:val="000000"/>
        </w:rPr>
        <w:t>Extractores de aire</w:t>
      </w:r>
    </w:p>
    <w:p w14:paraId="6C2B6919" w14:textId="77777777" w:rsidR="007462F0" w:rsidRDefault="009A2A4C">
      <w:pPr>
        <w:jc w:val="both"/>
        <w:rPr>
          <w:rFonts w:ascii="Gadugi" w:eastAsia="Gadugi" w:hAnsi="Gadugi" w:cs="Gadugi"/>
          <w:color w:val="000000"/>
        </w:rPr>
      </w:pPr>
      <w:r>
        <w:rPr>
          <w:rFonts w:ascii="Gadugi" w:eastAsia="Gadugi" w:hAnsi="Gadugi" w:cs="Gadugi"/>
          <w:color w:val="000000"/>
        </w:rPr>
        <w:t>Cuando los sistemas auxiliares de la Central Eléctrica no son complejos (como cuando se tiene enfriamiento de los motores por radiadores remotos o torres de enfriamiento los cuales se deben alimentar desde un centro de control de motores), por lo general solo se instalan pequeños extractores de aire para mantener flujos de aire en la caseta de generación y más que todo cuando los grupos electrógenos están apagados. Los puntos para estos extractores pueden ser monofásicos (120 o 220 V) o trifásicos (208, 220 o 480 V), con conductor AWG 12 o 10 y canalización (EMT) de diámetro mayor a ¾”.</w:t>
      </w:r>
    </w:p>
    <w:p w14:paraId="586BCC3B" w14:textId="77777777" w:rsidR="007462F0" w:rsidRDefault="009A2A4C">
      <w:pPr>
        <w:jc w:val="both"/>
        <w:rPr>
          <w:rFonts w:ascii="Gadugi" w:eastAsia="Gadugi" w:hAnsi="Gadugi" w:cs="Gadugi"/>
          <w:color w:val="000000"/>
        </w:rPr>
      </w:pPr>
      <w:r>
        <w:rPr>
          <w:rFonts w:ascii="Gadugi" w:eastAsia="Gadugi" w:hAnsi="Gadugi" w:cs="Gadugi"/>
          <w:color w:val="000000"/>
        </w:rPr>
        <w:t>Puntos especiales para otros equipos electrónicos como tableros de alarma de incendios, sistemas de monitoreo remoto, estos puntos eléctricos de alimentación deberá ser monofásico 120 V, con conductor AWG 12 y canalización (EMT) de diámetro mayor a</w:t>
      </w:r>
    </w:p>
    <w:p w14:paraId="3A86DFDB" w14:textId="77777777" w:rsidR="007462F0" w:rsidRDefault="007462F0">
      <w:pPr>
        <w:jc w:val="both"/>
        <w:rPr>
          <w:rFonts w:ascii="Gadugi" w:eastAsia="Gadugi" w:hAnsi="Gadugi" w:cs="Gadugi"/>
          <w:color w:val="000000"/>
        </w:rPr>
      </w:pPr>
    </w:p>
    <w:p w14:paraId="6346A807" w14:textId="4DFAA104" w:rsidR="007462F0" w:rsidRDefault="009A2A4C">
      <w:pPr>
        <w:jc w:val="both"/>
        <w:rPr>
          <w:rFonts w:ascii="Gadugi" w:eastAsia="Gadugi" w:hAnsi="Gadugi" w:cs="Gadugi"/>
          <w:color w:val="000000"/>
        </w:rPr>
      </w:pPr>
      <w:r>
        <w:rPr>
          <w:rFonts w:ascii="Gadugi" w:eastAsia="Gadugi" w:hAnsi="Gadugi" w:cs="Gadugi"/>
          <w:b/>
          <w:color w:val="000000"/>
        </w:rPr>
        <w:lastRenderedPageBreak/>
        <w:t>Puntos de Tomacorrientes para Servicios</w:t>
      </w:r>
    </w:p>
    <w:p w14:paraId="28A8FBB9" w14:textId="77777777" w:rsidR="007462F0" w:rsidRDefault="009A2A4C">
      <w:pPr>
        <w:jc w:val="both"/>
        <w:rPr>
          <w:rFonts w:ascii="Gadugi" w:eastAsia="Gadugi" w:hAnsi="Gadugi" w:cs="Gadugi"/>
          <w:color w:val="000000"/>
        </w:rPr>
      </w:pPr>
      <w:r>
        <w:rPr>
          <w:rFonts w:ascii="Gadugi" w:eastAsia="Gadugi" w:hAnsi="Gadugi" w:cs="Gadugi"/>
          <w:color w:val="000000"/>
        </w:rPr>
        <w:t>Para efectos de la alimentación eléctrica de equipos y herramientas eléctricas para la realización de los servicios de mantenimiento preventivo y correctivo habrá que contemplar la instalación de tomacorrientes monofásicos (120 o 220 V) o trifásicos (208 o 220V), con conductor AWG 12 o 10 y canalización adecuada al tipo de ambiente (HG o EMT) de diámetro mayor a ¾”.</w:t>
      </w:r>
    </w:p>
    <w:p w14:paraId="6C89B25B" w14:textId="77777777" w:rsidR="007462F0" w:rsidRDefault="007462F0">
      <w:pPr>
        <w:jc w:val="both"/>
        <w:rPr>
          <w:rFonts w:ascii="Gadugi" w:eastAsia="Gadugi" w:hAnsi="Gadugi" w:cs="Gadugi"/>
          <w:color w:val="000000"/>
        </w:rPr>
      </w:pPr>
    </w:p>
    <w:p w14:paraId="1340FA56" w14:textId="22FFE701" w:rsidR="007462F0" w:rsidRPr="004D1D36" w:rsidRDefault="009A2A4C" w:rsidP="004D1D36">
      <w:pPr>
        <w:pStyle w:val="Ttulo1"/>
        <w:numPr>
          <w:ilvl w:val="0"/>
          <w:numId w:val="12"/>
        </w:numPr>
        <w:spacing w:after="240" w:line="259" w:lineRule="auto"/>
        <w:ind w:left="357" w:hanging="357"/>
        <w:rPr>
          <w:rFonts w:ascii="Gadugi" w:eastAsia="Gadugi" w:hAnsi="Gadugi" w:cs="Gadugi"/>
          <w:b/>
          <w:color w:val="4472C4"/>
          <w:sz w:val="22"/>
          <w:szCs w:val="22"/>
          <w:u w:val="none"/>
        </w:rPr>
      </w:pPr>
      <w:bookmarkStart w:id="35" w:name="_Toc188539098"/>
      <w:r>
        <w:rPr>
          <w:rFonts w:ascii="Gadugi" w:eastAsia="Gadugi" w:hAnsi="Gadugi" w:cs="Gadugi"/>
          <w:b/>
          <w:color w:val="4472C4"/>
          <w:sz w:val="22"/>
          <w:szCs w:val="22"/>
          <w:u w:val="none"/>
        </w:rPr>
        <w:t>SALAS Y RECINTOS DE LAS CENTRAL DE GENERACION</w:t>
      </w:r>
      <w:bookmarkEnd w:id="35"/>
    </w:p>
    <w:p w14:paraId="3ED06CEA" w14:textId="4E4DCEF4" w:rsidR="007462F0" w:rsidRDefault="009A2A4C">
      <w:pPr>
        <w:pStyle w:val="Ttulo2"/>
        <w:spacing w:after="120"/>
        <w:ind w:left="720" w:hanging="720"/>
        <w:rPr>
          <w:rFonts w:ascii="Gadugi" w:eastAsia="Gadugi" w:hAnsi="Gadugi" w:cs="Gadugi"/>
          <w:color w:val="4472C4"/>
          <w:sz w:val="22"/>
          <w:szCs w:val="22"/>
        </w:rPr>
      </w:pPr>
      <w:bookmarkStart w:id="36" w:name="_Toc188539099"/>
      <w:r>
        <w:rPr>
          <w:rFonts w:ascii="Gadugi" w:eastAsia="Gadugi" w:hAnsi="Gadugi" w:cs="Gadugi"/>
          <w:color w:val="4472C4"/>
          <w:sz w:val="22"/>
          <w:szCs w:val="22"/>
        </w:rPr>
        <w:t>6.1.</w:t>
      </w:r>
      <w:r>
        <w:rPr>
          <w:rFonts w:ascii="Gadugi" w:eastAsia="Gadugi" w:hAnsi="Gadugi" w:cs="Gadugi"/>
          <w:color w:val="4472C4"/>
          <w:sz w:val="22"/>
          <w:szCs w:val="22"/>
        </w:rPr>
        <w:tab/>
        <w:t>AREAS DE LA CENTRAL DE GENERACION</w:t>
      </w:r>
      <w:bookmarkEnd w:id="36"/>
    </w:p>
    <w:p w14:paraId="5CEF2546" w14:textId="77777777" w:rsidR="007462F0" w:rsidRDefault="009A2A4C">
      <w:pPr>
        <w:jc w:val="both"/>
        <w:rPr>
          <w:rFonts w:ascii="Gadugi" w:eastAsia="Gadugi" w:hAnsi="Gadugi" w:cs="Gadugi"/>
          <w:color w:val="000000"/>
        </w:rPr>
      </w:pPr>
      <w:r>
        <w:rPr>
          <w:rFonts w:ascii="Gadugi" w:eastAsia="Gadugi" w:hAnsi="Gadugi" w:cs="Gadugi"/>
          <w:color w:val="000000"/>
        </w:rPr>
        <w:t>Operativamente hablando, la Central Eléctrica (sea a la intemperie con equipos en gabinetes o recintos metálicos Nema 3R o dentro de una edificación) deberá tener varias áreas o recintos claramente separados, estás son: A.- El área de los grupos electrógenos (con sus tanques diarios), B.- El área de los tableros de distribución de potencia (tableros de sincronización), C - El área de tanque principal y filtros de combustible. Si la Central Eléctrica es relativamente pequeña, los grupos electrógenos (con sus tanques diarios) y los tableros pueden estar ubicados en la misma área, no obstante, el tanque principal de combustible deberá estar en un área separada de acuerdo con las regulaciones obligatorias al respecto.</w:t>
      </w:r>
    </w:p>
    <w:p w14:paraId="5D75C738" w14:textId="77777777" w:rsidR="007462F0" w:rsidRDefault="007462F0">
      <w:pPr>
        <w:jc w:val="both"/>
        <w:rPr>
          <w:rFonts w:ascii="Gadugi" w:eastAsia="Gadugi" w:hAnsi="Gadugi" w:cs="Gadugi"/>
          <w:color w:val="000000"/>
        </w:rPr>
      </w:pPr>
    </w:p>
    <w:p w14:paraId="0A68928D" w14:textId="1A094C52" w:rsidR="007462F0" w:rsidRDefault="009A2A4C">
      <w:pPr>
        <w:pStyle w:val="Ttulo2"/>
        <w:spacing w:after="120"/>
        <w:ind w:left="720" w:hanging="720"/>
        <w:rPr>
          <w:rFonts w:ascii="Gadugi" w:eastAsia="Gadugi" w:hAnsi="Gadugi" w:cs="Gadugi"/>
          <w:color w:val="4472C4"/>
          <w:sz w:val="22"/>
          <w:szCs w:val="22"/>
        </w:rPr>
      </w:pPr>
      <w:bookmarkStart w:id="37" w:name="_Toc188539100"/>
      <w:r>
        <w:rPr>
          <w:rFonts w:ascii="Gadugi" w:eastAsia="Gadugi" w:hAnsi="Gadugi" w:cs="Gadugi"/>
          <w:color w:val="4472C4"/>
          <w:sz w:val="22"/>
          <w:szCs w:val="22"/>
        </w:rPr>
        <w:t>6.2.</w:t>
      </w:r>
      <w:r>
        <w:rPr>
          <w:rFonts w:ascii="Gadugi" w:eastAsia="Gadugi" w:hAnsi="Gadugi" w:cs="Gadugi"/>
          <w:color w:val="4472C4"/>
          <w:sz w:val="22"/>
          <w:szCs w:val="22"/>
        </w:rPr>
        <w:tab/>
        <w:t>UBICACIÓN Y ORIENTACIÓN DE LA SALA DE GENERACION</w:t>
      </w:r>
      <w:bookmarkEnd w:id="37"/>
    </w:p>
    <w:p w14:paraId="68CAF194" w14:textId="77777777" w:rsidR="007462F0" w:rsidRDefault="009A2A4C">
      <w:pPr>
        <w:jc w:val="both"/>
        <w:rPr>
          <w:rFonts w:ascii="Gadugi" w:eastAsia="Gadugi" w:hAnsi="Gadugi" w:cs="Gadugi"/>
          <w:color w:val="000000"/>
        </w:rPr>
      </w:pPr>
      <w:r>
        <w:rPr>
          <w:rFonts w:ascii="Gadugi" w:eastAsia="Gadugi" w:hAnsi="Gadugi" w:cs="Gadugi"/>
          <w:color w:val="000000"/>
        </w:rPr>
        <w:t>La importancia de la ubicación y orientación de la central de generación es vital para garantizar el costo justo para su instalación, un alto porcentaje de continuidad operativa y la seguridad de la central eléctrica, así como en minimizar el impacto ambiental sobre los centros de concentración de personas cercanos a la misma.</w:t>
      </w:r>
    </w:p>
    <w:p w14:paraId="4CA2AA1C" w14:textId="77777777" w:rsidR="007462F0" w:rsidRDefault="009A2A4C">
      <w:pPr>
        <w:jc w:val="both"/>
        <w:rPr>
          <w:rFonts w:ascii="Gadugi" w:eastAsia="Gadugi" w:hAnsi="Gadugi" w:cs="Gadugi"/>
          <w:color w:val="000000"/>
        </w:rPr>
      </w:pPr>
      <w:r>
        <w:rPr>
          <w:rFonts w:ascii="Gadugi" w:eastAsia="Gadugi" w:hAnsi="Gadugi" w:cs="Gadugi"/>
          <w:color w:val="000000"/>
        </w:rPr>
        <w:t xml:space="preserve">Como reglas generales para la ubicación de la central eléctrica de generación se debe implementar lo descrito en la norma NFPA-37 ‘‘Standard </w:t>
      </w:r>
      <w:proofErr w:type="spellStart"/>
      <w:r>
        <w:rPr>
          <w:rFonts w:ascii="Gadugi" w:eastAsia="Gadugi" w:hAnsi="Gadugi" w:cs="Gadugi"/>
          <w:color w:val="000000"/>
        </w:rPr>
        <w:t>for</w:t>
      </w:r>
      <w:proofErr w:type="spellEnd"/>
      <w:r>
        <w:rPr>
          <w:rFonts w:ascii="Gadugi" w:eastAsia="Gadugi" w:hAnsi="Gadugi" w:cs="Gadugi"/>
          <w:color w:val="000000"/>
        </w:rPr>
        <w:t xml:space="preserve"> </w:t>
      </w:r>
      <w:proofErr w:type="spellStart"/>
      <w:r>
        <w:rPr>
          <w:rFonts w:ascii="Gadugi" w:eastAsia="Gadugi" w:hAnsi="Gadugi" w:cs="Gadugi"/>
          <w:color w:val="000000"/>
        </w:rPr>
        <w:t>the</w:t>
      </w:r>
      <w:proofErr w:type="spellEnd"/>
      <w:r>
        <w:rPr>
          <w:rFonts w:ascii="Gadugi" w:eastAsia="Gadugi" w:hAnsi="Gadugi" w:cs="Gadugi"/>
          <w:color w:val="000000"/>
        </w:rPr>
        <w:t xml:space="preserve"> </w:t>
      </w:r>
      <w:proofErr w:type="spellStart"/>
      <w:r>
        <w:rPr>
          <w:rFonts w:ascii="Gadugi" w:eastAsia="Gadugi" w:hAnsi="Gadugi" w:cs="Gadugi"/>
          <w:color w:val="000000"/>
        </w:rPr>
        <w:t>installation</w:t>
      </w:r>
      <w:proofErr w:type="spellEnd"/>
      <w:r>
        <w:rPr>
          <w:rFonts w:ascii="Gadugi" w:eastAsia="Gadugi" w:hAnsi="Gadugi" w:cs="Gadugi"/>
          <w:color w:val="000000"/>
        </w:rPr>
        <w:t xml:space="preserve"> and use </w:t>
      </w:r>
      <w:proofErr w:type="spellStart"/>
      <w:r>
        <w:rPr>
          <w:rFonts w:ascii="Gadugi" w:eastAsia="Gadugi" w:hAnsi="Gadugi" w:cs="Gadugi"/>
          <w:color w:val="000000"/>
        </w:rPr>
        <w:t>of</w:t>
      </w:r>
      <w:proofErr w:type="spellEnd"/>
      <w:r>
        <w:rPr>
          <w:rFonts w:ascii="Gadugi" w:eastAsia="Gadugi" w:hAnsi="Gadugi" w:cs="Gadugi"/>
          <w:color w:val="000000"/>
        </w:rPr>
        <w:t xml:space="preserve"> </w:t>
      </w:r>
      <w:proofErr w:type="spellStart"/>
      <w:r>
        <w:rPr>
          <w:rFonts w:ascii="Gadugi" w:eastAsia="Gadugi" w:hAnsi="Gadugi" w:cs="Gadugi"/>
          <w:color w:val="000000"/>
        </w:rPr>
        <w:t>Stationary</w:t>
      </w:r>
      <w:proofErr w:type="spellEnd"/>
      <w:r>
        <w:rPr>
          <w:rFonts w:ascii="Gadugi" w:eastAsia="Gadugi" w:hAnsi="Gadugi" w:cs="Gadugi"/>
          <w:color w:val="000000"/>
        </w:rPr>
        <w:t xml:space="preserve"> combustión </w:t>
      </w:r>
      <w:proofErr w:type="spellStart"/>
      <w:r>
        <w:rPr>
          <w:rFonts w:ascii="Gadugi" w:eastAsia="Gadugi" w:hAnsi="Gadugi" w:cs="Gadugi"/>
          <w:color w:val="000000"/>
        </w:rPr>
        <w:t>Engines</w:t>
      </w:r>
      <w:proofErr w:type="spellEnd"/>
      <w:r>
        <w:rPr>
          <w:rFonts w:ascii="Gadugi" w:eastAsia="Gadugi" w:hAnsi="Gadugi" w:cs="Gadugi"/>
          <w:color w:val="000000"/>
        </w:rPr>
        <w:t xml:space="preserve"> and Gas Turbines’’, se tiene:</w:t>
      </w:r>
    </w:p>
    <w:p w14:paraId="10C76032" w14:textId="77777777" w:rsidR="007462F0" w:rsidRPr="004D1D36" w:rsidRDefault="009A2A4C">
      <w:pPr>
        <w:widowControl w:val="0"/>
        <w:numPr>
          <w:ilvl w:val="0"/>
          <w:numId w:val="5"/>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 xml:space="preserve">Los grupos electrógenos de las centrales eléctricas deben estar ubicados donde haya facilidad para el mantenimiento, reparaciones y protecciones contra incendios. </w:t>
      </w:r>
    </w:p>
    <w:p w14:paraId="4BC224D2" w14:textId="77777777" w:rsidR="007462F0" w:rsidRPr="004D1D36" w:rsidRDefault="009A2A4C">
      <w:pPr>
        <w:widowControl w:val="0"/>
        <w:numPr>
          <w:ilvl w:val="0"/>
          <w:numId w:val="5"/>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 xml:space="preserve">Se deberán instalar donde se pueda garantizar un apropiado flujo de aire para su </w:t>
      </w:r>
      <w:r w:rsidRPr="004D1D36">
        <w:rPr>
          <w:rFonts w:ascii="Gadugi" w:eastAsia="Gadugi" w:hAnsi="Gadugi" w:cs="Gadugi"/>
          <w:color w:val="000000"/>
        </w:rPr>
        <w:lastRenderedPageBreak/>
        <w:t>enfriamiento y para la combustión. Al igual que se pueda desplazar rápidamente cualquier acumulación de gases combustibles.</w:t>
      </w:r>
    </w:p>
    <w:p w14:paraId="720B7124" w14:textId="77777777" w:rsidR="007462F0" w:rsidRDefault="007462F0">
      <w:pPr>
        <w:jc w:val="both"/>
        <w:rPr>
          <w:rFonts w:ascii="Gadugi" w:eastAsia="Gadugi" w:hAnsi="Gadugi" w:cs="Gadugi"/>
          <w:color w:val="000000"/>
        </w:rPr>
      </w:pPr>
    </w:p>
    <w:p w14:paraId="3C005EA6" w14:textId="71C1ABEB" w:rsidR="007462F0" w:rsidRDefault="009A2A4C">
      <w:pPr>
        <w:pStyle w:val="Ttulo2"/>
        <w:spacing w:after="120"/>
        <w:ind w:left="720" w:hanging="720"/>
        <w:rPr>
          <w:rFonts w:ascii="Gadugi" w:eastAsia="Gadugi" w:hAnsi="Gadugi" w:cs="Gadugi"/>
          <w:color w:val="4472C4"/>
          <w:sz w:val="22"/>
          <w:szCs w:val="22"/>
        </w:rPr>
      </w:pPr>
      <w:bookmarkStart w:id="38" w:name="_Toc188539101"/>
      <w:r>
        <w:rPr>
          <w:rFonts w:ascii="Gadugi" w:eastAsia="Gadugi" w:hAnsi="Gadugi" w:cs="Gadugi"/>
          <w:color w:val="4472C4"/>
          <w:sz w:val="22"/>
          <w:szCs w:val="22"/>
        </w:rPr>
        <w:t>6.3.</w:t>
      </w:r>
      <w:r>
        <w:rPr>
          <w:rFonts w:ascii="Gadugi" w:eastAsia="Gadugi" w:hAnsi="Gadugi" w:cs="Gadugi"/>
          <w:color w:val="4472C4"/>
          <w:sz w:val="22"/>
          <w:szCs w:val="22"/>
        </w:rPr>
        <w:tab/>
        <w:t>ORIENTACIÓN DE LA CENTRAL ELECTRICA</w:t>
      </w:r>
      <w:bookmarkEnd w:id="38"/>
    </w:p>
    <w:p w14:paraId="753BE7C9" w14:textId="77777777" w:rsidR="007462F0" w:rsidRDefault="009A2A4C">
      <w:pPr>
        <w:jc w:val="both"/>
        <w:rPr>
          <w:rFonts w:ascii="Gadugi" w:eastAsia="Gadugi" w:hAnsi="Gadugi" w:cs="Gadugi"/>
          <w:color w:val="000000"/>
        </w:rPr>
      </w:pPr>
      <w:r>
        <w:rPr>
          <w:rFonts w:ascii="Gadugi" w:eastAsia="Gadugi" w:hAnsi="Gadugi" w:cs="Gadugi"/>
          <w:color w:val="000000"/>
        </w:rPr>
        <w:t>Para efectos de cómo puede ser afectada la Central Eléctrica por el ambiente del sitio donde será instalada, así de como a su vez ésta pueda afectar al ambiente circundante, será necesario orientar e instalar la Central Eléctrica de forma tal que:</w:t>
      </w:r>
    </w:p>
    <w:p w14:paraId="7AFC0BC5" w14:textId="77777777" w:rsidR="007462F0" w:rsidRPr="004D1D36" w:rsidRDefault="009A2A4C">
      <w:pPr>
        <w:widowControl w:val="0"/>
        <w:numPr>
          <w:ilvl w:val="0"/>
          <w:numId w:val="7"/>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Los grupos Electrógenos y sus sistemas asociados deben estar protegidos contra la acción de los ambientes hostiles.</w:t>
      </w:r>
    </w:p>
    <w:p w14:paraId="325C7902" w14:textId="77777777" w:rsidR="007462F0" w:rsidRPr="004D1D36" w:rsidRDefault="009A2A4C">
      <w:pPr>
        <w:widowControl w:val="0"/>
        <w:numPr>
          <w:ilvl w:val="0"/>
          <w:numId w:val="7"/>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 xml:space="preserve">Que los vientos permanentes o mayormente presentes, se puedan desplazar fácilmente el aire caliente y gases de escapes sin afectar a personas o edificaciones cercanas. </w:t>
      </w:r>
    </w:p>
    <w:p w14:paraId="209AFFB2" w14:textId="77777777" w:rsidR="007462F0" w:rsidRPr="004D1D36" w:rsidRDefault="009A2A4C">
      <w:pPr>
        <w:widowControl w:val="0"/>
        <w:numPr>
          <w:ilvl w:val="0"/>
          <w:numId w:val="7"/>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Que el ruido una vez reducido por el cumplimiento de los requerimientos de insonorización no se propague a las áreas donde pueda afectar a personas o edificaciones cercanas.</w:t>
      </w:r>
    </w:p>
    <w:p w14:paraId="75500B74" w14:textId="77777777" w:rsidR="007462F0" w:rsidRDefault="007462F0">
      <w:pPr>
        <w:jc w:val="both"/>
        <w:rPr>
          <w:rFonts w:ascii="Gadugi" w:eastAsia="Gadugi" w:hAnsi="Gadugi" w:cs="Gadugi"/>
          <w:color w:val="000000"/>
        </w:rPr>
      </w:pPr>
    </w:p>
    <w:p w14:paraId="1AD45F66" w14:textId="77777777" w:rsidR="007462F0" w:rsidRDefault="009A2A4C">
      <w:pPr>
        <w:pStyle w:val="Ttulo2"/>
        <w:spacing w:after="120"/>
        <w:ind w:left="720" w:hanging="720"/>
        <w:rPr>
          <w:rFonts w:ascii="Gadugi" w:eastAsia="Gadugi" w:hAnsi="Gadugi" w:cs="Gadugi"/>
          <w:color w:val="4472C4"/>
          <w:sz w:val="22"/>
          <w:szCs w:val="22"/>
        </w:rPr>
      </w:pPr>
      <w:bookmarkStart w:id="39" w:name="_Toc188539102"/>
      <w:r>
        <w:rPr>
          <w:rFonts w:ascii="Gadugi" w:eastAsia="Gadugi" w:hAnsi="Gadugi" w:cs="Gadugi"/>
          <w:color w:val="4472C4"/>
          <w:sz w:val="22"/>
          <w:szCs w:val="22"/>
        </w:rPr>
        <w:t>6.4.</w:t>
      </w:r>
      <w:r>
        <w:rPr>
          <w:rFonts w:ascii="Gadugi" w:eastAsia="Gadugi" w:hAnsi="Gadugi" w:cs="Gadugi"/>
          <w:color w:val="4472C4"/>
          <w:sz w:val="22"/>
          <w:szCs w:val="22"/>
        </w:rPr>
        <w:tab/>
        <w:t>DISPOSICIÓN FÍSICA DE LOS GRUPOS ELECTRÓGENOS EN LA SALA O RECINTO DE GENERACIÓN</w:t>
      </w:r>
      <w:bookmarkEnd w:id="39"/>
    </w:p>
    <w:p w14:paraId="605C8214" w14:textId="77777777" w:rsidR="007462F0" w:rsidRDefault="007462F0">
      <w:pPr>
        <w:jc w:val="both"/>
        <w:rPr>
          <w:rFonts w:ascii="Gadugi" w:eastAsia="Gadugi" w:hAnsi="Gadugi" w:cs="Gadugi"/>
          <w:color w:val="000000"/>
        </w:rPr>
      </w:pPr>
    </w:p>
    <w:p w14:paraId="57F711AE" w14:textId="77777777" w:rsidR="007462F0" w:rsidRDefault="009A2A4C">
      <w:pPr>
        <w:jc w:val="both"/>
        <w:rPr>
          <w:rFonts w:ascii="Gadugi" w:eastAsia="Gadugi" w:hAnsi="Gadugi" w:cs="Gadugi"/>
          <w:b/>
          <w:color w:val="000000"/>
        </w:rPr>
      </w:pPr>
      <w:r>
        <w:rPr>
          <w:rFonts w:ascii="Gadugi" w:eastAsia="Gadugi" w:hAnsi="Gadugi" w:cs="Gadugi"/>
          <w:b/>
          <w:color w:val="000000"/>
        </w:rPr>
        <w:t>Centrales Eléctricas a la Intemperie</w:t>
      </w:r>
    </w:p>
    <w:p w14:paraId="3C6E26F0" w14:textId="2667851A" w:rsidR="007462F0" w:rsidRDefault="009A2A4C">
      <w:pPr>
        <w:jc w:val="both"/>
        <w:rPr>
          <w:rFonts w:ascii="Gadugi" w:eastAsia="Gadugi" w:hAnsi="Gadugi" w:cs="Gadugi"/>
          <w:color w:val="000000"/>
        </w:rPr>
      </w:pPr>
      <w:r>
        <w:rPr>
          <w:rFonts w:ascii="Gadugi" w:eastAsia="Gadugi" w:hAnsi="Gadugi" w:cs="Gadugi"/>
          <w:color w:val="000000"/>
        </w:rPr>
        <w:t xml:space="preserve">El tipo de recinto de generación determinará varios de los factores importantes para su disposición física, si la instalación de los grupos electrógenos es a la intemperie o al aire libre (con cabinas Nema 3R), los factores más importantes son: </w:t>
      </w:r>
    </w:p>
    <w:p w14:paraId="6C69FFB9" w14:textId="77777777" w:rsidR="00D211AC" w:rsidRDefault="00D211AC">
      <w:pPr>
        <w:jc w:val="both"/>
        <w:rPr>
          <w:rFonts w:ascii="Gadugi" w:eastAsia="Gadugi" w:hAnsi="Gadugi" w:cs="Gadugi"/>
          <w:color w:val="000000"/>
        </w:rPr>
      </w:pPr>
    </w:p>
    <w:p w14:paraId="5984BF46" w14:textId="77777777" w:rsidR="007462F0" w:rsidRPr="004D1D36" w:rsidRDefault="009A2A4C">
      <w:pPr>
        <w:widowControl w:val="0"/>
        <w:numPr>
          <w:ilvl w:val="0"/>
          <w:numId w:val="9"/>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 xml:space="preserve">Las facilidades de acceso y tránsito dentro del recinto de la sala de Generación. Entre los grupos electrógenos o entre éstos y las paredes o límites laterales deberá haber una distancia no menor 150 cm. o la distancia mínima que marque el fabricante para garantizar la apertura de las puertas de las cabinas del Grupo Electrógeno. Entre la parte posterior los Grupos Electrógenos (lado del generador) y el tablero de </w:t>
      </w:r>
      <w:r w:rsidRPr="004D1D36">
        <w:rPr>
          <w:rFonts w:ascii="Gadugi" w:eastAsia="Gadugi" w:hAnsi="Gadugi" w:cs="Gadugi"/>
          <w:color w:val="000000"/>
        </w:rPr>
        <w:lastRenderedPageBreak/>
        <w:t>sincronismo (tablero de distribución de potencia) deberá haber una distancia mínima de 200 cm. y entre el tablero de sincronismo (tablero de distribución de potencia) y el límite posterior del recinto la distancia mínima será de 100 cm. Para que se garantice la visita posterior del tablero.</w:t>
      </w:r>
    </w:p>
    <w:p w14:paraId="54AAC8BB" w14:textId="77777777" w:rsidR="007462F0" w:rsidRPr="004D1D36" w:rsidRDefault="009A2A4C">
      <w:pPr>
        <w:widowControl w:val="0"/>
        <w:numPr>
          <w:ilvl w:val="0"/>
          <w:numId w:val="9"/>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 xml:space="preserve">La disposición de los tableros de sincronismo (tablero de distribución de potencia) será en orientación a las acometidas de potencia existentes o que se proyecten instalar en la edificación (en baja o media tensión), al igual la disposición de los Grupos Electrógenos garantizará la menor distancia entre estos y el tablero de sincronismo (tablero de distribución de potencia), por lo que al haber  definido el espacio necesario para la Central Eléctrica y demarcado su perímetro, primero se deberán ubicar los tableros de potencia para luego continuar con los Grupos Electrógenos. </w:t>
      </w:r>
    </w:p>
    <w:p w14:paraId="36E381C7" w14:textId="77777777" w:rsidR="007462F0" w:rsidRPr="004D1D36" w:rsidRDefault="009A2A4C">
      <w:pPr>
        <w:widowControl w:val="0"/>
        <w:numPr>
          <w:ilvl w:val="0"/>
          <w:numId w:val="9"/>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Los Grupos Electrógenos se dispondrán de forma tal que el aire caliente proveniente de sus radiadores, intercambiadores de calor o torres de enfriamiento y los gases de escapes de la combustión no afecten ningún otro equipo o dispositivo de la Central Eléctrica como tableros de distribución, tableros de transferencia, transformadores, tuberías o tanques de combustible, por lo que será necesario conocer con antelación la dirección más prevaleciente de los vientos.</w:t>
      </w:r>
    </w:p>
    <w:p w14:paraId="50F692F2" w14:textId="77777777" w:rsidR="007462F0" w:rsidRDefault="007462F0">
      <w:pPr>
        <w:jc w:val="both"/>
        <w:rPr>
          <w:rFonts w:ascii="Gadugi" w:eastAsia="Gadugi" w:hAnsi="Gadugi" w:cs="Gadugi"/>
          <w:color w:val="000000"/>
        </w:rPr>
      </w:pPr>
    </w:p>
    <w:p w14:paraId="1E703E16" w14:textId="77777777" w:rsidR="007462F0" w:rsidRDefault="009A2A4C">
      <w:pPr>
        <w:jc w:val="both"/>
        <w:rPr>
          <w:rFonts w:ascii="Gadugi" w:eastAsia="Gadugi" w:hAnsi="Gadugi" w:cs="Gadugi"/>
          <w:color w:val="000000"/>
        </w:rPr>
      </w:pPr>
      <w:r>
        <w:rPr>
          <w:rFonts w:ascii="Gadugi" w:eastAsia="Gadugi" w:hAnsi="Gadugi" w:cs="Gadugi"/>
          <w:color w:val="000000"/>
        </w:rPr>
        <w:t>Una vez determinado la dirección más frecuente de los vientos la ubicación y orientación de los Grupos Electrógenos será con los radiadores, intercambiadores de calor, torres de enfriamiento y tuberías de escape en el punto opuesto al punto de llegada de los mismos al perímetro del recinto de la sala de generación. Al igual se debe considerar que el aire caliente o los gases de escape no afecten a personas u otros equipos no asociados a la central eléctrica.</w:t>
      </w:r>
    </w:p>
    <w:p w14:paraId="530A823F" w14:textId="77777777" w:rsidR="007462F0" w:rsidRDefault="007462F0">
      <w:pPr>
        <w:jc w:val="both"/>
        <w:rPr>
          <w:rFonts w:ascii="Gadugi" w:eastAsia="Gadugi" w:hAnsi="Gadugi" w:cs="Gadugi"/>
          <w:color w:val="000000"/>
        </w:rPr>
      </w:pPr>
    </w:p>
    <w:p w14:paraId="553383D3" w14:textId="2DED572D" w:rsidR="007462F0" w:rsidRDefault="009A2A4C">
      <w:pPr>
        <w:pStyle w:val="Ttulo2"/>
        <w:spacing w:after="120"/>
        <w:ind w:left="720" w:hanging="720"/>
        <w:rPr>
          <w:rFonts w:ascii="Gadugi" w:eastAsia="Gadugi" w:hAnsi="Gadugi" w:cs="Gadugi"/>
          <w:color w:val="4472C4"/>
          <w:sz w:val="22"/>
          <w:szCs w:val="22"/>
        </w:rPr>
      </w:pPr>
      <w:bookmarkStart w:id="40" w:name="_Toc188539103"/>
      <w:r>
        <w:rPr>
          <w:rFonts w:ascii="Gadugi" w:eastAsia="Gadugi" w:hAnsi="Gadugi" w:cs="Gadugi"/>
          <w:color w:val="4472C4"/>
          <w:sz w:val="22"/>
          <w:szCs w:val="22"/>
        </w:rPr>
        <w:t>6.5.</w:t>
      </w:r>
      <w:r>
        <w:rPr>
          <w:rFonts w:ascii="Gadugi" w:eastAsia="Gadugi" w:hAnsi="Gadugi" w:cs="Gadugi"/>
          <w:color w:val="4472C4"/>
          <w:sz w:val="22"/>
          <w:szCs w:val="22"/>
        </w:rPr>
        <w:tab/>
        <w:t>CABINAS DE INTEMPERIE PARA GRUPOS ELECTROGENOS</w:t>
      </w:r>
      <w:bookmarkEnd w:id="40"/>
    </w:p>
    <w:p w14:paraId="345526CC" w14:textId="715C61FF" w:rsidR="007462F0" w:rsidRDefault="009A2A4C">
      <w:pPr>
        <w:jc w:val="both"/>
        <w:rPr>
          <w:rFonts w:ascii="Gadugi" w:eastAsia="Gadugi" w:hAnsi="Gadugi" w:cs="Gadugi"/>
          <w:color w:val="000000"/>
        </w:rPr>
      </w:pPr>
      <w:r>
        <w:rPr>
          <w:rFonts w:ascii="Gadugi" w:eastAsia="Gadugi" w:hAnsi="Gadugi" w:cs="Gadugi"/>
          <w:color w:val="000000"/>
        </w:rPr>
        <w:t>El uso de cabinas para proteger de la intemperie a los grupos electrógenos, con motor reciprocantes (</w:t>
      </w:r>
      <w:proofErr w:type="spellStart"/>
      <w:r>
        <w:rPr>
          <w:rFonts w:ascii="Gadugi" w:eastAsia="Gadugi" w:hAnsi="Gadugi" w:cs="Gadugi"/>
          <w:color w:val="000000"/>
        </w:rPr>
        <w:t>motogeneradores</w:t>
      </w:r>
      <w:proofErr w:type="spellEnd"/>
      <w:r>
        <w:rPr>
          <w:rFonts w:ascii="Gadugi" w:eastAsia="Gadugi" w:hAnsi="Gadugi" w:cs="Gadugi"/>
          <w:color w:val="000000"/>
        </w:rPr>
        <w:t xml:space="preserve">) se ha incrementado debido a que se reducen representativamente los costos de las casetas construidas en obra civil, además, las cabinas reducen el nivel de ruido producido por el grupo electrógeno. También la facilidad mostrada por los grupos electrógenos en cabina para su instalación marca una diferencia </w:t>
      </w:r>
      <w:r>
        <w:rPr>
          <w:rFonts w:ascii="Gadugi" w:eastAsia="Gadugi" w:hAnsi="Gadugi" w:cs="Gadugi"/>
          <w:color w:val="000000"/>
        </w:rPr>
        <w:lastRenderedPageBreak/>
        <w:t>preponderante para su selección, que sólo puede ser aminorada por la falta de espacios exteriores en la locación donde se desea construir la central eléctrica.</w:t>
      </w:r>
    </w:p>
    <w:p w14:paraId="03C19D93" w14:textId="77777777" w:rsidR="00D211AC" w:rsidRDefault="00D211AC">
      <w:pPr>
        <w:jc w:val="both"/>
        <w:rPr>
          <w:rFonts w:ascii="Gadugi" w:eastAsia="Gadugi" w:hAnsi="Gadugi" w:cs="Gadugi"/>
          <w:color w:val="000000"/>
        </w:rPr>
      </w:pPr>
    </w:p>
    <w:p w14:paraId="359A60CD" w14:textId="0536161E" w:rsidR="007462F0" w:rsidRDefault="009A2A4C">
      <w:pPr>
        <w:pStyle w:val="Ttulo2"/>
        <w:spacing w:after="120"/>
        <w:ind w:left="720" w:hanging="720"/>
        <w:rPr>
          <w:rFonts w:ascii="Gadugi" w:eastAsia="Gadugi" w:hAnsi="Gadugi" w:cs="Gadugi"/>
          <w:color w:val="4472C4"/>
          <w:sz w:val="22"/>
          <w:szCs w:val="22"/>
        </w:rPr>
      </w:pPr>
      <w:bookmarkStart w:id="41" w:name="_Toc188539104"/>
      <w:r>
        <w:rPr>
          <w:rFonts w:ascii="Gadugi" w:eastAsia="Gadugi" w:hAnsi="Gadugi" w:cs="Gadugi"/>
          <w:color w:val="4472C4"/>
          <w:sz w:val="22"/>
          <w:szCs w:val="22"/>
        </w:rPr>
        <w:t>6.6.</w:t>
      </w:r>
      <w:r>
        <w:rPr>
          <w:rFonts w:ascii="Gadugi" w:eastAsia="Gadugi" w:hAnsi="Gadugi" w:cs="Gadugi"/>
          <w:color w:val="4472C4"/>
          <w:sz w:val="22"/>
          <w:szCs w:val="22"/>
        </w:rPr>
        <w:tab/>
        <w:t>SISTEMA DE INSONORIZACIÓN</w:t>
      </w:r>
      <w:bookmarkEnd w:id="41"/>
    </w:p>
    <w:p w14:paraId="7E80681E" w14:textId="77777777" w:rsidR="007462F0" w:rsidRDefault="009A2A4C">
      <w:pPr>
        <w:jc w:val="both"/>
        <w:rPr>
          <w:rFonts w:ascii="Gadugi" w:eastAsia="Gadugi" w:hAnsi="Gadugi" w:cs="Gadugi"/>
          <w:color w:val="000000"/>
        </w:rPr>
      </w:pPr>
      <w:r>
        <w:rPr>
          <w:rFonts w:ascii="Gadugi" w:eastAsia="Gadugi" w:hAnsi="Gadugi" w:cs="Gadugi"/>
          <w:color w:val="000000"/>
        </w:rPr>
        <w:t>La condición de "combustión interna" de los motores de los grupos electrógenos   los hace en extremo ruidosos, y sobrepasan el umbral de ruido permitido para la salud de los seres humanos, por lo que habrá que tomar en cuenta las regulaciones locales en cuanto a contaminación ambiental por ruido para seleccionar la cabina y/o silenciador del grupo electrógeno requerido (en el caso de centrales eléctricas a la intemperie) o adecuar las salas de generación (en el caso de centrales eléctricas dentro de edificaciones). Se deberá evitar que los niveles de ruido producidos por los grupos electrógenos sobrepasen los límites máximos permitidos en las regulaciones oficiales al respecto de un promedio de ≤ 70 dB(A) y causen molestias en las personas. Al proceso de atenuar los niveles de ruido producidos por los grupos electrógenos a los niveles permitidos se denomina "Insonorización" y al conjunto de todos los dispositivos y materiales instalados para ese fin en una sala de generación se denomina "Sistema de Insonorización".</w:t>
      </w:r>
    </w:p>
    <w:p w14:paraId="1F274A53" w14:textId="77777777" w:rsidR="007462F0" w:rsidRDefault="007462F0">
      <w:pPr>
        <w:jc w:val="both"/>
        <w:rPr>
          <w:rFonts w:ascii="Gadugi" w:eastAsia="Gadugi" w:hAnsi="Gadugi" w:cs="Gadugi"/>
          <w:color w:val="000000"/>
        </w:rPr>
      </w:pPr>
    </w:p>
    <w:p w14:paraId="415B1CB5" w14:textId="06FB3C4B" w:rsidR="007462F0" w:rsidRDefault="009A2A4C">
      <w:pPr>
        <w:pStyle w:val="Ttulo2"/>
        <w:spacing w:after="120"/>
        <w:ind w:left="720" w:hanging="720"/>
        <w:rPr>
          <w:rFonts w:ascii="Gadugi" w:eastAsia="Gadugi" w:hAnsi="Gadugi" w:cs="Gadugi"/>
          <w:color w:val="4472C4"/>
          <w:sz w:val="22"/>
          <w:szCs w:val="22"/>
        </w:rPr>
      </w:pPr>
      <w:bookmarkStart w:id="42" w:name="_Toc188539105"/>
      <w:r>
        <w:rPr>
          <w:rFonts w:ascii="Gadugi" w:eastAsia="Gadugi" w:hAnsi="Gadugi" w:cs="Gadugi"/>
          <w:color w:val="4472C4"/>
          <w:sz w:val="22"/>
          <w:szCs w:val="22"/>
        </w:rPr>
        <w:t>6.7.</w:t>
      </w:r>
      <w:r>
        <w:rPr>
          <w:rFonts w:ascii="Gadugi" w:eastAsia="Gadugi" w:hAnsi="Gadugi" w:cs="Gadugi"/>
          <w:color w:val="4472C4"/>
          <w:sz w:val="22"/>
          <w:szCs w:val="22"/>
        </w:rPr>
        <w:tab/>
        <w:t>EDIFICACIONES ESPECIFICAS PARA LAS SALAS DE GENERACION</w:t>
      </w:r>
      <w:bookmarkEnd w:id="42"/>
    </w:p>
    <w:p w14:paraId="5E4A3B9B" w14:textId="43757B7C" w:rsidR="007462F0" w:rsidRDefault="009A2A4C">
      <w:pPr>
        <w:jc w:val="both"/>
        <w:rPr>
          <w:rFonts w:ascii="Gadugi" w:eastAsia="Gadugi" w:hAnsi="Gadugi" w:cs="Gadugi"/>
          <w:color w:val="000000"/>
        </w:rPr>
      </w:pPr>
      <w:r>
        <w:rPr>
          <w:rFonts w:ascii="Gadugi" w:eastAsia="Gadugi" w:hAnsi="Gadugi" w:cs="Gadugi"/>
          <w:color w:val="000000"/>
        </w:rPr>
        <w:t>El diseño de una edificación específica para la sala de generación deberá tomarse en cuenta los siguientes factores:</w:t>
      </w:r>
    </w:p>
    <w:p w14:paraId="60DD9E32" w14:textId="77777777" w:rsidR="007462F0" w:rsidRPr="004D1D36" w:rsidRDefault="009A2A4C">
      <w:pPr>
        <w:widowControl w:val="0"/>
        <w:numPr>
          <w:ilvl w:val="0"/>
          <w:numId w:val="10"/>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Para grupos electrógenos con motor reciprocante se debe considerar la altura necesaria para la instalación de los silenciadores de acuerdo con la atenuación que permita cumplir con las regulaciones contra ruidos molestos.</w:t>
      </w:r>
    </w:p>
    <w:p w14:paraId="310ACBCB" w14:textId="77777777" w:rsidR="007462F0" w:rsidRPr="004D1D36" w:rsidRDefault="009A2A4C">
      <w:pPr>
        <w:widowControl w:val="0"/>
        <w:numPr>
          <w:ilvl w:val="0"/>
          <w:numId w:val="10"/>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 xml:space="preserve">La losa de piso sobre la cual se montarán los grupos electrógenos deberá ser calculada con suficiente resistencia para soportar 1,5 veces el peso del grupo electrógeno con todos sus fluidos (lubricantes, refrigerante y combustible). Preferiblemente la losa de piso será integral (no seccionada, esto para el caso de la instalación de varios Grupos Electrógenos). Se considerará que los conductores de potencia serán instalados en cárcamos (sólo en instalaciones dentro de edificaciones o donde no se había previsto el montaje de una central eléctrica, se instalarán en bandeja </w:t>
      </w:r>
      <w:proofErr w:type="spellStart"/>
      <w:r w:rsidRPr="004D1D36">
        <w:rPr>
          <w:rFonts w:ascii="Gadugi" w:eastAsia="Gadugi" w:hAnsi="Gadugi" w:cs="Gadugi"/>
          <w:color w:val="000000"/>
        </w:rPr>
        <w:t>portacables</w:t>
      </w:r>
      <w:proofErr w:type="spellEnd"/>
      <w:r w:rsidRPr="004D1D36">
        <w:rPr>
          <w:rFonts w:ascii="Gadugi" w:eastAsia="Gadugi" w:hAnsi="Gadugi" w:cs="Gadugi"/>
          <w:color w:val="000000"/>
        </w:rPr>
        <w:t xml:space="preserve">). Los cárcamos obligatoriamente deberán tener tapas </w:t>
      </w:r>
      <w:r w:rsidRPr="004D1D36">
        <w:rPr>
          <w:rFonts w:ascii="Gadugi" w:eastAsia="Gadugi" w:hAnsi="Gadugi" w:cs="Gadugi"/>
          <w:color w:val="000000"/>
        </w:rPr>
        <w:lastRenderedPageBreak/>
        <w:t>adecuadas y resistentes, contarán</w:t>
      </w:r>
      <w:r w:rsidRPr="004D1D36">
        <w:rPr>
          <w:rFonts w:ascii="Gadugi" w:eastAsia="Gadugi" w:hAnsi="Gadugi" w:cs="Gadugi"/>
        </w:rPr>
        <w:t xml:space="preserve"> </w:t>
      </w:r>
      <w:r w:rsidRPr="004D1D36">
        <w:rPr>
          <w:rFonts w:ascii="Gadugi" w:eastAsia="Gadugi" w:hAnsi="Gadugi" w:cs="Gadugi"/>
          <w:color w:val="000000"/>
        </w:rPr>
        <w:t>(con desagües para desplazar agua en caso de inundación.</w:t>
      </w:r>
    </w:p>
    <w:p w14:paraId="0638E63E" w14:textId="77777777" w:rsidR="007462F0" w:rsidRPr="004D1D36" w:rsidRDefault="009A2A4C">
      <w:pPr>
        <w:widowControl w:val="0"/>
        <w:numPr>
          <w:ilvl w:val="0"/>
          <w:numId w:val="10"/>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No se deberá considerar la construcción de columnas centrales o atravesadas para soportar las vigas de sustentación del techo, por lo que será necesario calcular amplias distancias entre columnas con el uso de cerchas de celosías.</w:t>
      </w:r>
    </w:p>
    <w:p w14:paraId="4FE5948A" w14:textId="77777777" w:rsidR="007462F0" w:rsidRPr="004D1D36" w:rsidRDefault="009A2A4C">
      <w:pPr>
        <w:widowControl w:val="0"/>
        <w:numPr>
          <w:ilvl w:val="0"/>
          <w:numId w:val="10"/>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El techo deberá ser del tipo liviano y desmontable que permita el uso de grúas, por si se necesita desmontar algún grupo electrógeno completo para su reemplazo por otro de mayor potencia. No se deberá olvidar los recolectores de aguas de lluvia y los bajantes de desagüe, los mismos serán calculados a la mayor capacidad pluviométrica de la región o zona de la instalación de la central eléctrica. Por su condición de equipos energizados es importante garantizar que no habrá ninguna cantidad de agua y filtraciones dentro de la central eléctrica.</w:t>
      </w:r>
    </w:p>
    <w:p w14:paraId="35805EEE" w14:textId="77777777" w:rsidR="007462F0" w:rsidRPr="004D1D36" w:rsidRDefault="009A2A4C">
      <w:pPr>
        <w:widowControl w:val="0"/>
        <w:numPr>
          <w:ilvl w:val="0"/>
          <w:numId w:val="10"/>
        </w:numPr>
        <w:pBdr>
          <w:top w:val="nil"/>
          <w:left w:val="nil"/>
          <w:bottom w:val="nil"/>
          <w:right w:val="nil"/>
          <w:between w:val="nil"/>
        </w:pBdr>
        <w:spacing w:before="139" w:after="0"/>
        <w:ind w:left="714" w:hanging="357"/>
        <w:jc w:val="both"/>
        <w:rPr>
          <w:rFonts w:ascii="Gadugi" w:eastAsia="Gadugi" w:hAnsi="Gadugi" w:cs="Gadugi"/>
          <w:color w:val="000000"/>
        </w:rPr>
      </w:pPr>
      <w:r w:rsidRPr="004D1D36">
        <w:rPr>
          <w:rFonts w:ascii="Gadugi" w:eastAsia="Gadugi" w:hAnsi="Gadugi" w:cs="Gadugi"/>
          <w:color w:val="000000"/>
        </w:rPr>
        <w:t xml:space="preserve">Se deberá contemplar la instalación de servicios auxiliares como puntos de agua y aire para el lavado de los diferentes equipos de la central eléctrica que lo ameriten. Igualmente se instalarán desagües de piso internos que puedan desplazar al exterior el agua del lavado o de lluvias (en caso de algún problema). </w:t>
      </w:r>
    </w:p>
    <w:p w14:paraId="1704AEB8" w14:textId="77777777" w:rsidR="007462F0" w:rsidRDefault="007462F0">
      <w:pPr>
        <w:jc w:val="both"/>
        <w:rPr>
          <w:rFonts w:ascii="Gadugi" w:eastAsia="Gadugi" w:hAnsi="Gadugi" w:cs="Gadugi"/>
          <w:color w:val="000000"/>
        </w:rPr>
      </w:pPr>
    </w:p>
    <w:p w14:paraId="16627920" w14:textId="31D2EEB6" w:rsidR="007462F0" w:rsidRDefault="009A2A4C">
      <w:pPr>
        <w:jc w:val="both"/>
        <w:rPr>
          <w:rFonts w:ascii="Gadugi" w:eastAsia="Gadugi" w:hAnsi="Gadugi" w:cs="Gadugi"/>
          <w:color w:val="000000"/>
        </w:rPr>
      </w:pPr>
      <w:r>
        <w:rPr>
          <w:rFonts w:ascii="Gadugi" w:eastAsia="Gadugi" w:hAnsi="Gadugi" w:cs="Gadugi"/>
          <w:color w:val="000000"/>
        </w:rPr>
        <w:t>Se considerarán canales en piso y pequeñas trincheras para las tuberías de combustible entre los grupos electrógenos y sus tanques de retomo (diarios) o el tanque principal (para combustible líquido).</w:t>
      </w:r>
    </w:p>
    <w:p w14:paraId="5ACD6B1C" w14:textId="77777777" w:rsidR="007462F0" w:rsidRDefault="007462F0">
      <w:pPr>
        <w:jc w:val="both"/>
        <w:rPr>
          <w:rFonts w:ascii="Gadugi" w:eastAsia="Gadugi" w:hAnsi="Gadugi" w:cs="Gadugi"/>
          <w:color w:val="000000"/>
        </w:rPr>
      </w:pPr>
    </w:p>
    <w:p w14:paraId="1592EAA4" w14:textId="77777777" w:rsidR="007462F0" w:rsidRDefault="009A2A4C">
      <w:pPr>
        <w:pStyle w:val="Ttulo1"/>
        <w:numPr>
          <w:ilvl w:val="0"/>
          <w:numId w:val="12"/>
        </w:numPr>
        <w:spacing w:after="240" w:line="259" w:lineRule="auto"/>
        <w:ind w:left="357" w:hanging="357"/>
        <w:rPr>
          <w:rFonts w:ascii="Gadugi" w:eastAsia="Gadugi" w:hAnsi="Gadugi" w:cs="Gadugi"/>
          <w:b/>
          <w:color w:val="4472C4"/>
          <w:sz w:val="22"/>
          <w:szCs w:val="22"/>
          <w:u w:val="none"/>
        </w:rPr>
      </w:pPr>
      <w:bookmarkStart w:id="43" w:name="_Toc188539106"/>
      <w:r>
        <w:rPr>
          <w:rFonts w:ascii="Gadugi" w:eastAsia="Gadugi" w:hAnsi="Gadugi" w:cs="Gadugi"/>
          <w:b/>
          <w:color w:val="4472C4"/>
          <w:sz w:val="22"/>
          <w:szCs w:val="22"/>
          <w:u w:val="none"/>
        </w:rPr>
        <w:t>SISTEMAS OPERATIVOS ASOCIADOS DE LA CENTRAL ELÉCTRICA</w:t>
      </w:r>
      <w:bookmarkEnd w:id="43"/>
    </w:p>
    <w:p w14:paraId="7C8D37C6" w14:textId="77777777" w:rsidR="007462F0" w:rsidRDefault="009A2A4C">
      <w:pPr>
        <w:pStyle w:val="Ttulo2"/>
        <w:spacing w:after="120"/>
        <w:ind w:left="720" w:hanging="720"/>
        <w:rPr>
          <w:rFonts w:ascii="Gadugi" w:eastAsia="Gadugi" w:hAnsi="Gadugi" w:cs="Gadugi"/>
          <w:color w:val="4472C4"/>
          <w:sz w:val="22"/>
          <w:szCs w:val="22"/>
        </w:rPr>
      </w:pPr>
      <w:bookmarkStart w:id="44" w:name="_Toc188539107"/>
      <w:r>
        <w:rPr>
          <w:rFonts w:ascii="Gadugi" w:eastAsia="Gadugi" w:hAnsi="Gadugi" w:cs="Gadugi"/>
          <w:color w:val="4472C4"/>
          <w:sz w:val="22"/>
          <w:szCs w:val="22"/>
        </w:rPr>
        <w:t>7.1.</w:t>
      </w:r>
      <w:r>
        <w:rPr>
          <w:rFonts w:ascii="Gadugi" w:eastAsia="Gadugi" w:hAnsi="Gadugi" w:cs="Gadugi"/>
          <w:color w:val="4472C4"/>
          <w:sz w:val="22"/>
          <w:szCs w:val="22"/>
        </w:rPr>
        <w:tab/>
        <w:t>ALMACENAMIENTO DE COMBUSTIBLE</w:t>
      </w:r>
      <w:bookmarkEnd w:id="44"/>
    </w:p>
    <w:p w14:paraId="50A199A5" w14:textId="77777777" w:rsidR="007462F0" w:rsidRDefault="009A2A4C">
      <w:pPr>
        <w:jc w:val="both"/>
        <w:rPr>
          <w:rFonts w:ascii="Gadugi" w:eastAsia="Gadugi" w:hAnsi="Gadugi" w:cs="Gadugi"/>
          <w:color w:val="000000"/>
        </w:rPr>
      </w:pPr>
      <w:r>
        <w:rPr>
          <w:rFonts w:ascii="Gadugi" w:eastAsia="Gadugi" w:hAnsi="Gadugi" w:cs="Gadugi"/>
          <w:color w:val="000000"/>
        </w:rPr>
        <w:t xml:space="preserve">Los tanques principales de almacenamiento de combustible se deberán calcular de acuerdo con el tipo de régimen de operación de la central eléctrica, los factores fundamentales para este cálculo son: </w:t>
      </w:r>
    </w:p>
    <w:p w14:paraId="62902C60" w14:textId="77777777" w:rsidR="007462F0" w:rsidRDefault="009A2A4C">
      <w:pPr>
        <w:jc w:val="both"/>
        <w:rPr>
          <w:rFonts w:ascii="Gadugi" w:eastAsia="Gadugi" w:hAnsi="Gadugi" w:cs="Gadugi"/>
          <w:color w:val="000000"/>
        </w:rPr>
      </w:pPr>
      <w:r>
        <w:rPr>
          <w:rFonts w:ascii="Gadugi" w:eastAsia="Gadugi" w:hAnsi="Gadugi" w:cs="Gadugi"/>
          <w:color w:val="000000"/>
        </w:rPr>
        <w:t xml:space="preserve">En centrales eléctricas de régimen continuo o primario (de punta), los factores fundamentales son: la disponibilidad del suministro y la dificultad de transporte, no obstante, si estos factores no son favorables no se deben calcular y construir tanques de capacidad extraordinaria para el almacenamiento del diésel, ya que este combustible se contamina frecuentemente con agua por condensación dentro de los tanques por los </w:t>
      </w:r>
      <w:r>
        <w:rPr>
          <w:rFonts w:ascii="Gadugi" w:eastAsia="Gadugi" w:hAnsi="Gadugi" w:cs="Gadugi"/>
          <w:color w:val="000000"/>
        </w:rPr>
        <w:lastRenderedPageBreak/>
        <w:t>espacios de aire no rellenos, al igual y debido a su oxidación no se podrá dejar almacenado por más de 12 meses. Para efectos de poder solucionar este tipo de dificultad, se sugiere hacer un cálculo equilibrado de los períodos probables de llenado para así garantizar la óptima operatividad de la Central Eléctrica.</w:t>
      </w:r>
    </w:p>
    <w:p w14:paraId="50034C1F" w14:textId="77777777" w:rsidR="007462F0" w:rsidRDefault="009A2A4C">
      <w:pPr>
        <w:jc w:val="both"/>
        <w:rPr>
          <w:rFonts w:ascii="Gadugi" w:eastAsia="Gadugi" w:hAnsi="Gadugi" w:cs="Gadugi"/>
          <w:color w:val="000000"/>
        </w:rPr>
      </w:pPr>
      <w:r>
        <w:rPr>
          <w:rFonts w:ascii="Gadugi" w:eastAsia="Gadugi" w:hAnsi="Gadugi" w:cs="Gadugi"/>
          <w:color w:val="000000"/>
        </w:rPr>
        <w:t>Los tanques principales se clasifican de acuerdo con su ubicación al nivel del suelo, en: A. - Tanques Atmosféricos cuando están al nivel del suelo y su presión interna es la misma presión barométrica según la altitud a la que se encuentre. B.- Tanques Subterráneos, los cuales se encuentran bajo el nivel del suelo, dentro de fosas o tanques de concreto.</w:t>
      </w:r>
    </w:p>
    <w:p w14:paraId="298C14A9" w14:textId="77777777" w:rsidR="007462F0" w:rsidRDefault="009A2A4C">
      <w:pPr>
        <w:jc w:val="both"/>
        <w:rPr>
          <w:rFonts w:ascii="Gadugi" w:eastAsia="Gadugi" w:hAnsi="Gadugi" w:cs="Gadugi"/>
          <w:color w:val="000000"/>
        </w:rPr>
      </w:pPr>
      <w:r>
        <w:rPr>
          <w:rFonts w:ascii="Gadugi" w:eastAsia="Gadugi" w:hAnsi="Gadugi" w:cs="Gadugi"/>
          <w:color w:val="000000"/>
        </w:rPr>
        <w:t>Los tanques principales de Almacenamiento en lo posible se deben ubicar en lugares apartados y separados físicamente de la Central Eléctrica, sin embargo, su ubicación básicamente dependerá de la seguridad de la edificación (riesgo potencial de accidente por el combustible almacenado para las personas y bienes) y de las facilidades para su llenado.</w:t>
      </w:r>
    </w:p>
    <w:p w14:paraId="0DE121C0" w14:textId="041C9403" w:rsidR="007462F0" w:rsidRDefault="009A2A4C">
      <w:pPr>
        <w:jc w:val="both"/>
        <w:rPr>
          <w:rFonts w:ascii="Gadugi" w:eastAsia="Gadugi" w:hAnsi="Gadugi" w:cs="Gadugi"/>
          <w:color w:val="000000"/>
        </w:rPr>
      </w:pPr>
      <w:r>
        <w:rPr>
          <w:rFonts w:ascii="Gadugi" w:eastAsia="Gadugi" w:hAnsi="Gadugi" w:cs="Gadugi"/>
          <w:color w:val="000000"/>
        </w:rPr>
        <w:t>La Norma NFPA-30 (Código Americano de Líquidos Inflamables y Combustibles), en su capítulo No. 2, numeral 2.2.2.1. Indica que los tanques para combustible pueden ser de cualquier forma o tipo, siempre y cuando su diseño sea consistente con las buenas prácticas de la ingeniería.</w:t>
      </w:r>
    </w:p>
    <w:p w14:paraId="10D86B11" w14:textId="77777777" w:rsidR="007462F0" w:rsidRDefault="007462F0">
      <w:pPr>
        <w:jc w:val="both"/>
        <w:rPr>
          <w:rFonts w:ascii="Gadugi" w:eastAsia="Gadugi" w:hAnsi="Gadugi" w:cs="Gadugi"/>
          <w:color w:val="000000"/>
        </w:rPr>
      </w:pPr>
    </w:p>
    <w:p w14:paraId="59901403" w14:textId="77777777" w:rsidR="007462F0" w:rsidRDefault="009A2A4C">
      <w:pPr>
        <w:pStyle w:val="Ttulo2"/>
        <w:spacing w:after="120"/>
        <w:ind w:left="720" w:hanging="720"/>
        <w:rPr>
          <w:rFonts w:ascii="Gadugi" w:eastAsia="Gadugi" w:hAnsi="Gadugi" w:cs="Gadugi"/>
          <w:color w:val="4472C4"/>
          <w:sz w:val="22"/>
          <w:szCs w:val="22"/>
        </w:rPr>
      </w:pPr>
      <w:bookmarkStart w:id="45" w:name="_Toc188539108"/>
      <w:r>
        <w:rPr>
          <w:rFonts w:ascii="Gadugi" w:eastAsia="Gadugi" w:hAnsi="Gadugi" w:cs="Gadugi"/>
          <w:color w:val="4472C4"/>
          <w:sz w:val="22"/>
          <w:szCs w:val="22"/>
        </w:rPr>
        <w:t>7.2.</w:t>
      </w:r>
      <w:r>
        <w:rPr>
          <w:rFonts w:ascii="Gadugi" w:eastAsia="Gadugi" w:hAnsi="Gadugi" w:cs="Gadugi"/>
          <w:color w:val="4472C4"/>
          <w:sz w:val="22"/>
          <w:szCs w:val="22"/>
        </w:rPr>
        <w:tab/>
        <w:t>TUBERÍAS, VÁLVULAS, BOMBAS Y FILTROS</w:t>
      </w:r>
      <w:bookmarkEnd w:id="45"/>
    </w:p>
    <w:p w14:paraId="075C90B5" w14:textId="77777777" w:rsidR="007462F0" w:rsidRDefault="009A2A4C">
      <w:pPr>
        <w:jc w:val="both"/>
        <w:rPr>
          <w:rFonts w:ascii="Gadugi" w:eastAsia="Gadugi" w:hAnsi="Gadugi" w:cs="Gadugi"/>
          <w:color w:val="000000"/>
        </w:rPr>
      </w:pPr>
      <w:r>
        <w:rPr>
          <w:rFonts w:ascii="Gadugi" w:eastAsia="Gadugi" w:hAnsi="Gadugi" w:cs="Gadugi"/>
          <w:color w:val="000000"/>
        </w:rPr>
        <w:t>El cálculo de las tuberías, válvulas, bombas y filtros de los sistemas de combustible líquido de los grupos electrógenos deberá ser calculado de acuerdo con el flujo de combustible al 100 % del régimen de carga con un factor de reserva de al menos 20 %.</w:t>
      </w:r>
    </w:p>
    <w:p w14:paraId="05282C86" w14:textId="77777777" w:rsidR="007462F0" w:rsidRDefault="009A2A4C">
      <w:pPr>
        <w:jc w:val="both"/>
        <w:rPr>
          <w:rFonts w:ascii="Gadugi" w:eastAsia="Gadugi" w:hAnsi="Gadugi" w:cs="Gadugi"/>
          <w:color w:val="000000"/>
        </w:rPr>
      </w:pPr>
      <w:r>
        <w:rPr>
          <w:rFonts w:ascii="Gadugi" w:eastAsia="Gadugi" w:hAnsi="Gadugi" w:cs="Gadugi"/>
          <w:color w:val="000000"/>
        </w:rPr>
        <w:t>Las tuberías del sistema de combustible sólo deberán ser de acero al carbono, no se usarán tuberías de aluminio, hierro colado, hierro galvanizado o cobre, ya que el ácido sulfúrico formado por el azufre del combustible combinado con el agua que se condensa en el tanque, las deteriora y desgasta, causando residuos y suciedad en el combustible que pueden afectar los sistemas de filtraje, la bomba de inyección y los inyectores del motor. De acuerdo a la Norma ANSI A13.1 las tuberías de los sistemas de combustible diésel deberán estar pintadas de color marrón.</w:t>
      </w:r>
    </w:p>
    <w:p w14:paraId="7140D011" w14:textId="77777777" w:rsidR="007462F0" w:rsidRDefault="007462F0">
      <w:pPr>
        <w:jc w:val="both"/>
        <w:rPr>
          <w:rFonts w:ascii="Gadugi" w:eastAsia="Gadugi" w:hAnsi="Gadugi" w:cs="Gadugi"/>
          <w:color w:val="000000"/>
        </w:rPr>
      </w:pPr>
    </w:p>
    <w:p w14:paraId="00CA6F21" w14:textId="77777777" w:rsidR="004D1D36" w:rsidRDefault="004D1D36">
      <w:pPr>
        <w:jc w:val="both"/>
        <w:rPr>
          <w:rFonts w:ascii="Gadugi" w:eastAsia="Gadugi" w:hAnsi="Gadugi" w:cs="Gadugi"/>
          <w:color w:val="000000"/>
        </w:rPr>
      </w:pPr>
    </w:p>
    <w:p w14:paraId="200EFC27" w14:textId="77777777" w:rsidR="007462F0" w:rsidRDefault="009A2A4C">
      <w:pPr>
        <w:pStyle w:val="Ttulo1"/>
        <w:numPr>
          <w:ilvl w:val="0"/>
          <w:numId w:val="12"/>
        </w:numPr>
        <w:rPr>
          <w:rFonts w:ascii="Gadugi" w:eastAsia="Gadugi" w:hAnsi="Gadugi" w:cs="Gadugi"/>
          <w:b/>
          <w:color w:val="000000"/>
          <w:sz w:val="22"/>
          <w:szCs w:val="22"/>
          <w:u w:val="none"/>
        </w:rPr>
      </w:pPr>
      <w:bookmarkStart w:id="46" w:name="_Toc188539109"/>
      <w:r>
        <w:rPr>
          <w:rFonts w:ascii="Gadugi" w:eastAsia="Gadugi" w:hAnsi="Gadugi" w:cs="Gadugi"/>
          <w:b/>
          <w:color w:val="000000"/>
          <w:sz w:val="22"/>
          <w:szCs w:val="22"/>
          <w:u w:val="none"/>
        </w:rPr>
        <w:lastRenderedPageBreak/>
        <w:t>BIBLIOGRAFÍA</w:t>
      </w:r>
      <w:bookmarkEnd w:id="46"/>
    </w:p>
    <w:p w14:paraId="79EC16AB" w14:textId="77777777" w:rsidR="007462F0" w:rsidRDefault="007462F0">
      <w:pPr>
        <w:rPr>
          <w:rFonts w:ascii="Gadugi" w:eastAsia="Gadugi" w:hAnsi="Gadugi" w:cs="Gadugi"/>
          <w:color w:val="000000"/>
        </w:rPr>
      </w:pPr>
    </w:p>
    <w:p w14:paraId="712E884B" w14:textId="77777777" w:rsidR="007462F0" w:rsidRDefault="009A2A4C">
      <w:pPr>
        <w:widowControl w:val="0"/>
        <w:numPr>
          <w:ilvl w:val="0"/>
          <w:numId w:val="11"/>
        </w:numPr>
        <w:pBdr>
          <w:top w:val="nil"/>
          <w:left w:val="nil"/>
          <w:bottom w:val="nil"/>
          <w:right w:val="nil"/>
          <w:between w:val="nil"/>
        </w:pBdr>
        <w:spacing w:before="120" w:after="120" w:line="240" w:lineRule="auto"/>
        <w:ind w:left="714" w:hanging="357"/>
        <w:jc w:val="both"/>
        <w:rPr>
          <w:rFonts w:ascii="Gadugi" w:eastAsia="Gadugi" w:hAnsi="Gadugi" w:cs="Gadugi"/>
          <w:color w:val="000000"/>
        </w:rPr>
      </w:pPr>
      <w:r>
        <w:rPr>
          <w:rFonts w:ascii="Gadugi" w:eastAsia="Gadugi" w:hAnsi="Gadugi" w:cs="Gadugi"/>
          <w:color w:val="000000"/>
        </w:rPr>
        <w:t>Bahía Solano. (2019). Bahía Solano. Información y turismo. Obtenido de https://bahiasolano.com.co/bahia-solano/</w:t>
      </w:r>
    </w:p>
    <w:p w14:paraId="212F8DEC" w14:textId="77777777" w:rsidR="007462F0" w:rsidRDefault="009A2A4C">
      <w:pPr>
        <w:widowControl w:val="0"/>
        <w:numPr>
          <w:ilvl w:val="0"/>
          <w:numId w:val="11"/>
        </w:numPr>
        <w:pBdr>
          <w:top w:val="nil"/>
          <w:left w:val="nil"/>
          <w:bottom w:val="nil"/>
          <w:right w:val="nil"/>
          <w:between w:val="nil"/>
        </w:pBdr>
        <w:spacing w:before="120" w:after="120" w:line="240" w:lineRule="auto"/>
        <w:ind w:left="714" w:hanging="357"/>
        <w:jc w:val="both"/>
        <w:rPr>
          <w:rFonts w:ascii="Gadugi" w:eastAsia="Gadugi" w:hAnsi="Gadugi" w:cs="Gadugi"/>
          <w:color w:val="000000"/>
        </w:rPr>
      </w:pPr>
      <w:r>
        <w:rPr>
          <w:rFonts w:ascii="Gadugi" w:eastAsia="Gadugi" w:hAnsi="Gadugi" w:cs="Gadugi"/>
          <w:color w:val="000000"/>
        </w:rPr>
        <w:t>Wikipedia. (2019). Wikipedia. Obtenido de https://es.wikipedia.org/wiki/Bahía_Solano</w:t>
      </w:r>
    </w:p>
    <w:p w14:paraId="38646722" w14:textId="77777777" w:rsidR="007462F0" w:rsidRDefault="009A2A4C">
      <w:pPr>
        <w:widowControl w:val="0"/>
        <w:numPr>
          <w:ilvl w:val="0"/>
          <w:numId w:val="11"/>
        </w:numPr>
        <w:pBdr>
          <w:top w:val="nil"/>
          <w:left w:val="nil"/>
          <w:bottom w:val="nil"/>
          <w:right w:val="nil"/>
          <w:between w:val="nil"/>
        </w:pBdr>
        <w:spacing w:before="120" w:after="120" w:line="240" w:lineRule="auto"/>
        <w:ind w:left="714" w:hanging="357"/>
        <w:jc w:val="both"/>
        <w:rPr>
          <w:rFonts w:ascii="Gadugi" w:eastAsia="Gadugi" w:hAnsi="Gadugi" w:cs="Gadugi"/>
          <w:color w:val="000000"/>
        </w:rPr>
      </w:pPr>
      <w:proofErr w:type="spellStart"/>
      <w:r>
        <w:rPr>
          <w:rFonts w:ascii="Gadugi" w:eastAsia="Gadugi" w:hAnsi="Gadugi" w:cs="Gadugi"/>
          <w:color w:val="000000"/>
        </w:rPr>
        <w:t>Institute</w:t>
      </w:r>
      <w:proofErr w:type="spellEnd"/>
      <w:r>
        <w:rPr>
          <w:rFonts w:ascii="Gadugi" w:eastAsia="Gadugi" w:hAnsi="Gadugi" w:cs="Gadugi"/>
          <w:color w:val="000000"/>
        </w:rPr>
        <w:t xml:space="preserve"> </w:t>
      </w:r>
      <w:proofErr w:type="spellStart"/>
      <w:r>
        <w:rPr>
          <w:rFonts w:ascii="Gadugi" w:eastAsia="Gadugi" w:hAnsi="Gadugi" w:cs="Gadugi"/>
          <w:color w:val="000000"/>
        </w:rPr>
        <w:t>of</w:t>
      </w:r>
      <w:proofErr w:type="spellEnd"/>
      <w:r>
        <w:rPr>
          <w:rFonts w:ascii="Gadugi" w:eastAsia="Gadugi" w:hAnsi="Gadugi" w:cs="Gadugi"/>
          <w:color w:val="000000"/>
        </w:rPr>
        <w:t xml:space="preserve"> </w:t>
      </w:r>
      <w:proofErr w:type="spellStart"/>
      <w:r>
        <w:rPr>
          <w:rFonts w:ascii="Gadugi" w:eastAsia="Gadugi" w:hAnsi="Gadugi" w:cs="Gadugi"/>
          <w:color w:val="000000"/>
        </w:rPr>
        <w:t>Electrical</w:t>
      </w:r>
      <w:proofErr w:type="spellEnd"/>
      <w:r>
        <w:rPr>
          <w:rFonts w:ascii="Gadugi" w:eastAsia="Gadugi" w:hAnsi="Gadugi" w:cs="Gadugi"/>
          <w:color w:val="000000"/>
        </w:rPr>
        <w:t xml:space="preserve"> and </w:t>
      </w:r>
      <w:proofErr w:type="spellStart"/>
      <w:r>
        <w:rPr>
          <w:rFonts w:ascii="Gadugi" w:eastAsia="Gadugi" w:hAnsi="Gadugi" w:cs="Gadugi"/>
          <w:color w:val="000000"/>
        </w:rPr>
        <w:t>Electronics</w:t>
      </w:r>
      <w:proofErr w:type="spellEnd"/>
      <w:r>
        <w:rPr>
          <w:rFonts w:ascii="Gadugi" w:eastAsia="Gadugi" w:hAnsi="Gadugi" w:cs="Gadugi"/>
          <w:color w:val="000000"/>
        </w:rPr>
        <w:t xml:space="preserve"> </w:t>
      </w:r>
      <w:proofErr w:type="spellStart"/>
      <w:r>
        <w:rPr>
          <w:rFonts w:ascii="Gadugi" w:eastAsia="Gadugi" w:hAnsi="Gadugi" w:cs="Gadugi"/>
          <w:color w:val="000000"/>
        </w:rPr>
        <w:t>Engineers</w:t>
      </w:r>
      <w:proofErr w:type="spellEnd"/>
      <w:r>
        <w:rPr>
          <w:rFonts w:ascii="Gadugi" w:eastAsia="Gadugi" w:hAnsi="Gadugi" w:cs="Gadugi"/>
          <w:color w:val="000000"/>
        </w:rPr>
        <w:t xml:space="preserve">, IEEE </w:t>
      </w:r>
      <w:proofErr w:type="spellStart"/>
      <w:r>
        <w:rPr>
          <w:rFonts w:ascii="Gadugi" w:eastAsia="Gadugi" w:hAnsi="Gadugi" w:cs="Gadugi"/>
          <w:color w:val="000000"/>
        </w:rPr>
        <w:t>Std</w:t>
      </w:r>
      <w:proofErr w:type="spellEnd"/>
      <w:r>
        <w:rPr>
          <w:rFonts w:ascii="Gadugi" w:eastAsia="Gadugi" w:hAnsi="Gadugi" w:cs="Gadugi"/>
          <w:color w:val="000000"/>
        </w:rPr>
        <w:t xml:space="preserve"> 80-81.</w:t>
      </w:r>
    </w:p>
    <w:p w14:paraId="7ED5595E" w14:textId="77777777" w:rsidR="007462F0" w:rsidRDefault="009A2A4C">
      <w:pPr>
        <w:widowControl w:val="0"/>
        <w:numPr>
          <w:ilvl w:val="0"/>
          <w:numId w:val="11"/>
        </w:numPr>
        <w:pBdr>
          <w:top w:val="nil"/>
          <w:left w:val="nil"/>
          <w:bottom w:val="nil"/>
          <w:right w:val="nil"/>
          <w:between w:val="nil"/>
        </w:pBdr>
        <w:spacing w:before="120" w:after="120" w:line="240" w:lineRule="auto"/>
        <w:ind w:left="714" w:hanging="357"/>
        <w:jc w:val="both"/>
        <w:rPr>
          <w:rFonts w:ascii="Gadugi" w:eastAsia="Gadugi" w:hAnsi="Gadugi" w:cs="Gadugi"/>
          <w:color w:val="000000"/>
        </w:rPr>
      </w:pPr>
      <w:r>
        <w:rPr>
          <w:rFonts w:ascii="Gadugi" w:eastAsia="Gadugi" w:hAnsi="Gadugi" w:cs="Gadugi"/>
          <w:color w:val="000000"/>
        </w:rPr>
        <w:t xml:space="preserve">NFPA 70 "National Electric </w:t>
      </w:r>
      <w:proofErr w:type="spellStart"/>
      <w:r>
        <w:rPr>
          <w:rFonts w:ascii="Gadugi" w:eastAsia="Gadugi" w:hAnsi="Gadugi" w:cs="Gadugi"/>
          <w:color w:val="000000"/>
        </w:rPr>
        <w:t>Code</w:t>
      </w:r>
      <w:proofErr w:type="spellEnd"/>
      <w:r>
        <w:rPr>
          <w:rFonts w:ascii="Gadugi" w:eastAsia="Gadugi" w:hAnsi="Gadugi" w:cs="Gadugi"/>
          <w:color w:val="000000"/>
        </w:rPr>
        <w:t>", Código Eléctrico Nacional USA para Instalaciones Eléctricas, equivalente en Colombia a la Norma NTC  2050 Código Eléctrico Nacional.</w:t>
      </w:r>
    </w:p>
    <w:p w14:paraId="59D25911" w14:textId="77777777" w:rsidR="007462F0" w:rsidRDefault="009A2A4C">
      <w:pPr>
        <w:widowControl w:val="0"/>
        <w:numPr>
          <w:ilvl w:val="0"/>
          <w:numId w:val="11"/>
        </w:numPr>
        <w:pBdr>
          <w:top w:val="nil"/>
          <w:left w:val="nil"/>
          <w:bottom w:val="nil"/>
          <w:right w:val="nil"/>
          <w:between w:val="nil"/>
        </w:pBdr>
        <w:spacing w:before="120" w:after="120" w:line="240" w:lineRule="auto"/>
        <w:ind w:left="714" w:hanging="357"/>
        <w:jc w:val="both"/>
        <w:rPr>
          <w:rFonts w:ascii="Gadugi" w:eastAsia="Gadugi" w:hAnsi="Gadugi" w:cs="Gadugi"/>
          <w:color w:val="000000"/>
        </w:rPr>
      </w:pPr>
      <w:r>
        <w:rPr>
          <w:rFonts w:ascii="Gadugi" w:eastAsia="Gadugi" w:hAnsi="Gadugi" w:cs="Gadugi"/>
          <w:color w:val="000000"/>
        </w:rPr>
        <w:t>Reglamento Técnico de Instalaciones Eléctricas RETIE.</w:t>
      </w:r>
    </w:p>
    <w:p w14:paraId="75AFCCFF" w14:textId="77777777" w:rsidR="007462F0" w:rsidRDefault="009A2A4C">
      <w:pPr>
        <w:widowControl w:val="0"/>
        <w:numPr>
          <w:ilvl w:val="0"/>
          <w:numId w:val="11"/>
        </w:numPr>
        <w:pBdr>
          <w:top w:val="nil"/>
          <w:left w:val="nil"/>
          <w:bottom w:val="nil"/>
          <w:right w:val="nil"/>
          <w:between w:val="nil"/>
        </w:pBdr>
        <w:spacing w:before="120" w:after="120" w:line="240" w:lineRule="auto"/>
        <w:ind w:left="714" w:hanging="357"/>
        <w:jc w:val="both"/>
        <w:rPr>
          <w:rFonts w:ascii="Gadugi" w:eastAsia="Gadugi" w:hAnsi="Gadugi" w:cs="Gadugi"/>
          <w:color w:val="000000"/>
        </w:rPr>
      </w:pPr>
      <w:r>
        <w:rPr>
          <w:rFonts w:ascii="Gadugi" w:eastAsia="Gadugi" w:hAnsi="Gadugi" w:cs="Gadugi"/>
          <w:color w:val="000000"/>
        </w:rPr>
        <w:t xml:space="preserve">NFPA 37 "Standard </w:t>
      </w:r>
      <w:proofErr w:type="spellStart"/>
      <w:r>
        <w:rPr>
          <w:rFonts w:ascii="Gadugi" w:eastAsia="Gadugi" w:hAnsi="Gadugi" w:cs="Gadugi"/>
          <w:color w:val="000000"/>
        </w:rPr>
        <w:t>for</w:t>
      </w:r>
      <w:proofErr w:type="spellEnd"/>
      <w:r>
        <w:rPr>
          <w:rFonts w:ascii="Gadugi" w:eastAsia="Gadugi" w:hAnsi="Gadugi" w:cs="Gadugi"/>
          <w:color w:val="000000"/>
        </w:rPr>
        <w:t xml:space="preserve"> </w:t>
      </w:r>
      <w:proofErr w:type="spellStart"/>
      <w:r>
        <w:rPr>
          <w:rFonts w:ascii="Gadugi" w:eastAsia="Gadugi" w:hAnsi="Gadugi" w:cs="Gadugi"/>
          <w:color w:val="000000"/>
        </w:rPr>
        <w:t>Installation</w:t>
      </w:r>
      <w:proofErr w:type="spellEnd"/>
      <w:r>
        <w:rPr>
          <w:rFonts w:ascii="Gadugi" w:eastAsia="Gadugi" w:hAnsi="Gadugi" w:cs="Gadugi"/>
          <w:color w:val="000000"/>
        </w:rPr>
        <w:t xml:space="preserve"> and Use </w:t>
      </w:r>
      <w:proofErr w:type="spellStart"/>
      <w:r>
        <w:rPr>
          <w:rFonts w:ascii="Gadugi" w:eastAsia="Gadugi" w:hAnsi="Gadugi" w:cs="Gadugi"/>
          <w:color w:val="000000"/>
        </w:rPr>
        <w:t>of</w:t>
      </w:r>
      <w:proofErr w:type="spellEnd"/>
      <w:r>
        <w:rPr>
          <w:rFonts w:ascii="Gadugi" w:eastAsia="Gadugi" w:hAnsi="Gadugi" w:cs="Gadugi"/>
          <w:color w:val="000000"/>
        </w:rPr>
        <w:t xml:space="preserve"> </w:t>
      </w:r>
      <w:proofErr w:type="spellStart"/>
      <w:r>
        <w:rPr>
          <w:rFonts w:ascii="Gadugi" w:eastAsia="Gadugi" w:hAnsi="Gadugi" w:cs="Gadugi"/>
          <w:color w:val="000000"/>
        </w:rPr>
        <w:t>Stationary</w:t>
      </w:r>
      <w:proofErr w:type="spellEnd"/>
      <w:r>
        <w:rPr>
          <w:rFonts w:ascii="Gadugi" w:eastAsia="Gadugi" w:hAnsi="Gadugi" w:cs="Gadugi"/>
          <w:color w:val="000000"/>
        </w:rPr>
        <w:t xml:space="preserve"> Combustión </w:t>
      </w:r>
      <w:proofErr w:type="spellStart"/>
      <w:r>
        <w:rPr>
          <w:rFonts w:ascii="Gadugi" w:eastAsia="Gadugi" w:hAnsi="Gadugi" w:cs="Gadugi"/>
          <w:color w:val="000000"/>
        </w:rPr>
        <w:t>Engines</w:t>
      </w:r>
      <w:proofErr w:type="spellEnd"/>
      <w:r>
        <w:rPr>
          <w:rFonts w:ascii="Gadugi" w:eastAsia="Gadugi" w:hAnsi="Gadugi" w:cs="Gadugi"/>
          <w:color w:val="000000"/>
        </w:rPr>
        <w:t xml:space="preserve"> and Gas Turbines", Normas para la Instalación y Uso de Motores Estacionarios de Combustión Interna y Turbinas de Gas.</w:t>
      </w:r>
    </w:p>
    <w:p w14:paraId="74583B15" w14:textId="77777777" w:rsidR="007462F0" w:rsidRDefault="009A2A4C">
      <w:pPr>
        <w:widowControl w:val="0"/>
        <w:numPr>
          <w:ilvl w:val="0"/>
          <w:numId w:val="11"/>
        </w:numPr>
        <w:pBdr>
          <w:top w:val="nil"/>
          <w:left w:val="nil"/>
          <w:bottom w:val="nil"/>
          <w:right w:val="nil"/>
          <w:between w:val="nil"/>
        </w:pBdr>
        <w:spacing w:before="120" w:after="120" w:line="240" w:lineRule="auto"/>
        <w:ind w:left="714" w:hanging="357"/>
        <w:jc w:val="both"/>
        <w:rPr>
          <w:rFonts w:ascii="Gadugi" w:eastAsia="Gadugi" w:hAnsi="Gadugi" w:cs="Gadugi"/>
          <w:color w:val="000000"/>
        </w:rPr>
      </w:pPr>
      <w:r>
        <w:rPr>
          <w:rFonts w:ascii="Gadugi" w:eastAsia="Gadugi" w:hAnsi="Gadugi" w:cs="Gadugi"/>
          <w:color w:val="000000"/>
        </w:rPr>
        <w:t xml:space="preserve">NFPA 110 "Standard </w:t>
      </w:r>
      <w:proofErr w:type="spellStart"/>
      <w:r>
        <w:rPr>
          <w:rFonts w:ascii="Gadugi" w:eastAsia="Gadugi" w:hAnsi="Gadugi" w:cs="Gadugi"/>
          <w:color w:val="000000"/>
        </w:rPr>
        <w:t>for</w:t>
      </w:r>
      <w:proofErr w:type="spellEnd"/>
      <w:r>
        <w:rPr>
          <w:rFonts w:ascii="Gadugi" w:eastAsia="Gadugi" w:hAnsi="Gadugi" w:cs="Gadugi"/>
          <w:color w:val="000000"/>
        </w:rPr>
        <w:t xml:space="preserve"> </w:t>
      </w:r>
      <w:proofErr w:type="spellStart"/>
      <w:r>
        <w:rPr>
          <w:rFonts w:ascii="Gadugi" w:eastAsia="Gadugi" w:hAnsi="Gadugi" w:cs="Gadugi"/>
          <w:color w:val="000000"/>
        </w:rPr>
        <w:t>emergency</w:t>
      </w:r>
      <w:proofErr w:type="spellEnd"/>
      <w:r>
        <w:rPr>
          <w:rFonts w:ascii="Gadugi" w:eastAsia="Gadugi" w:hAnsi="Gadugi" w:cs="Gadugi"/>
          <w:color w:val="000000"/>
        </w:rPr>
        <w:t xml:space="preserve"> and </w:t>
      </w:r>
      <w:proofErr w:type="spellStart"/>
      <w:r>
        <w:rPr>
          <w:rFonts w:ascii="Gadugi" w:eastAsia="Gadugi" w:hAnsi="Gadugi" w:cs="Gadugi"/>
          <w:color w:val="000000"/>
        </w:rPr>
        <w:t>Standby</w:t>
      </w:r>
      <w:proofErr w:type="spellEnd"/>
      <w:r>
        <w:rPr>
          <w:rFonts w:ascii="Gadugi" w:eastAsia="Gadugi" w:hAnsi="Gadugi" w:cs="Gadugi"/>
          <w:color w:val="000000"/>
        </w:rPr>
        <w:t xml:space="preserve"> </w:t>
      </w:r>
      <w:proofErr w:type="spellStart"/>
      <w:r>
        <w:rPr>
          <w:rFonts w:ascii="Gadugi" w:eastAsia="Gadugi" w:hAnsi="Gadugi" w:cs="Gadugi"/>
          <w:color w:val="000000"/>
        </w:rPr>
        <w:t>Power</w:t>
      </w:r>
      <w:proofErr w:type="spellEnd"/>
      <w:r>
        <w:rPr>
          <w:rFonts w:ascii="Gadugi" w:eastAsia="Gadugi" w:hAnsi="Gadugi" w:cs="Gadugi"/>
          <w:color w:val="000000"/>
        </w:rPr>
        <w:t xml:space="preserve"> </w:t>
      </w:r>
      <w:proofErr w:type="spellStart"/>
      <w:r>
        <w:rPr>
          <w:rFonts w:ascii="Gadugi" w:eastAsia="Gadugi" w:hAnsi="Gadugi" w:cs="Gadugi"/>
          <w:color w:val="000000"/>
        </w:rPr>
        <w:t>Systems</w:t>
      </w:r>
      <w:proofErr w:type="spellEnd"/>
      <w:r>
        <w:rPr>
          <w:rFonts w:ascii="Gadugi" w:eastAsia="Gadugi" w:hAnsi="Gadugi" w:cs="Gadugi"/>
          <w:color w:val="000000"/>
        </w:rPr>
        <w:t>", Normas para Sistemas de Respaldo de Energía Eléctrica de Emergencia y Operativa</w:t>
      </w:r>
    </w:p>
    <w:p w14:paraId="77DF9CEC" w14:textId="3F4B8C5D" w:rsidR="007462F0" w:rsidRDefault="009A2A4C" w:rsidP="004D1D36">
      <w:pPr>
        <w:widowControl w:val="0"/>
        <w:numPr>
          <w:ilvl w:val="0"/>
          <w:numId w:val="11"/>
        </w:numPr>
        <w:pBdr>
          <w:top w:val="nil"/>
          <w:left w:val="nil"/>
          <w:bottom w:val="nil"/>
          <w:right w:val="nil"/>
          <w:between w:val="nil"/>
        </w:pBdr>
        <w:spacing w:before="139" w:after="0" w:line="240" w:lineRule="auto"/>
        <w:jc w:val="both"/>
        <w:rPr>
          <w:rFonts w:ascii="Gadugi" w:eastAsia="Gadugi" w:hAnsi="Gadugi" w:cs="Gadugi"/>
          <w:color w:val="000000"/>
        </w:rPr>
      </w:pPr>
      <w:r>
        <w:rPr>
          <w:rFonts w:ascii="Gadugi" w:eastAsia="Gadugi" w:hAnsi="Gadugi" w:cs="Gadugi"/>
          <w:color w:val="000000"/>
        </w:rPr>
        <w:t>Octavio Casado Gonzales- Grupos Electrógenos y Centrales Eléctricas de Generación</w:t>
      </w:r>
      <w:r w:rsidR="004D1D36">
        <w:rPr>
          <w:rFonts w:ascii="Gadugi" w:eastAsia="Gadugi" w:hAnsi="Gadugi" w:cs="Gadugi"/>
          <w:color w:val="000000"/>
        </w:rPr>
        <w:t xml:space="preserve">. </w:t>
      </w:r>
      <w:r>
        <w:rPr>
          <w:rFonts w:ascii="Gadugi" w:eastAsia="Gadugi" w:hAnsi="Gadugi" w:cs="Gadugi"/>
          <w:color w:val="000000"/>
        </w:rPr>
        <w:t>Distribuida.</w:t>
      </w:r>
    </w:p>
    <w:p w14:paraId="5893F328" w14:textId="77777777" w:rsidR="007462F0" w:rsidRDefault="007462F0">
      <w:pPr>
        <w:rPr>
          <w:rFonts w:ascii="Gadugi" w:eastAsia="Gadugi" w:hAnsi="Gadugi" w:cs="Gadugi"/>
          <w:color w:val="000000"/>
        </w:rPr>
      </w:pPr>
    </w:p>
    <w:p w14:paraId="3EE43540" w14:textId="77777777" w:rsidR="007462F0" w:rsidRDefault="007462F0">
      <w:pPr>
        <w:rPr>
          <w:rFonts w:ascii="Gadugi" w:eastAsia="Gadugi" w:hAnsi="Gadugi" w:cs="Gadugi"/>
          <w:color w:val="000000"/>
        </w:rPr>
      </w:pPr>
    </w:p>
    <w:p w14:paraId="53DBAB6B" w14:textId="77777777" w:rsidR="007462F0" w:rsidRDefault="007462F0">
      <w:pPr>
        <w:rPr>
          <w:rFonts w:ascii="Gadugi" w:eastAsia="Gadugi" w:hAnsi="Gadugi" w:cs="Gadugi"/>
          <w:color w:val="000000"/>
        </w:rPr>
      </w:pPr>
    </w:p>
    <w:p w14:paraId="2D4C198A" w14:textId="77777777" w:rsidR="007462F0" w:rsidRDefault="007462F0">
      <w:pPr>
        <w:rPr>
          <w:rFonts w:ascii="Gadugi" w:eastAsia="Gadugi" w:hAnsi="Gadugi" w:cs="Gadugi"/>
          <w:color w:val="000000"/>
        </w:rPr>
      </w:pPr>
    </w:p>
    <w:p w14:paraId="5B7C8BA9" w14:textId="77777777" w:rsidR="007462F0" w:rsidRDefault="007462F0">
      <w:pPr>
        <w:rPr>
          <w:rFonts w:ascii="Gadugi" w:eastAsia="Gadugi" w:hAnsi="Gadugi" w:cs="Gadugi"/>
          <w:color w:val="000000"/>
        </w:rPr>
      </w:pPr>
    </w:p>
    <w:sectPr w:rsidR="007462F0">
      <w:pgSz w:w="12240" w:h="15840"/>
      <w:pgMar w:top="1417" w:right="1701" w:bottom="1417" w:left="1701" w:header="708" w:footer="5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D2011" w14:textId="77777777" w:rsidR="0094270F" w:rsidRDefault="0094270F">
      <w:pPr>
        <w:spacing w:after="0" w:line="240" w:lineRule="auto"/>
      </w:pPr>
      <w:r>
        <w:separator/>
      </w:r>
    </w:p>
  </w:endnote>
  <w:endnote w:type="continuationSeparator" w:id="0">
    <w:p w14:paraId="1C370632" w14:textId="77777777" w:rsidR="0094270F" w:rsidRDefault="00942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00002FF" w:usb1="5000205B" w:usb2="00000001" w:usb3="00000000" w:csb0="0000019F" w:csb1="00000000"/>
  </w:font>
  <w:font w:name="Georgia">
    <w:panose1 w:val="02040502050405020303"/>
    <w:charset w:val="00"/>
    <w:family w:val="roman"/>
    <w:pitch w:val="variable"/>
    <w:sig w:usb0="00000287" w:usb1="00000000" w:usb2="00000000" w:usb3="00000000" w:csb0="0000009F"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E9B6" w14:textId="77777777" w:rsidR="007462F0" w:rsidRDefault="009A2A4C">
    <w:pPr>
      <w:tabs>
        <w:tab w:val="center" w:pos="4252"/>
        <w:tab w:val="right" w:pos="8504"/>
      </w:tabs>
      <w:spacing w:after="0" w:line="240" w:lineRule="auto"/>
      <w:jc w:val="center"/>
      <w:rPr>
        <w:rFonts w:ascii="Gadugi" w:eastAsia="Gadugi" w:hAnsi="Gadugi" w:cs="Gadugi"/>
        <w:sz w:val="18"/>
        <w:szCs w:val="18"/>
      </w:rPr>
    </w:pPr>
    <w:r>
      <w:rPr>
        <w:rFonts w:ascii="Gadugi" w:eastAsia="Gadugi" w:hAnsi="Gadugi" w:cs="Gadugi"/>
        <w:sz w:val="18"/>
        <w:szCs w:val="18"/>
      </w:rPr>
      <w:t xml:space="preserve">Calle 63 # 22-10 </w:t>
    </w:r>
    <w:proofErr w:type="spellStart"/>
    <w:r>
      <w:rPr>
        <w:rFonts w:ascii="Gadugi" w:eastAsia="Gadugi" w:hAnsi="Gadugi" w:cs="Gadugi"/>
        <w:sz w:val="18"/>
        <w:szCs w:val="18"/>
      </w:rPr>
      <w:t>Télefono</w:t>
    </w:r>
    <w:proofErr w:type="spellEnd"/>
    <w:r>
      <w:rPr>
        <w:rFonts w:ascii="Gadugi" w:eastAsia="Gadugi" w:hAnsi="Gadugi" w:cs="Gadugi"/>
        <w:sz w:val="18"/>
        <w:szCs w:val="18"/>
      </w:rPr>
      <w:t>: (606) 879 30 09 Celular: 311-432-8696</w:t>
    </w:r>
  </w:p>
  <w:p w14:paraId="69E0D1FE" w14:textId="77777777" w:rsidR="007462F0" w:rsidRDefault="0094270F">
    <w:pPr>
      <w:tabs>
        <w:tab w:val="center" w:pos="4252"/>
        <w:tab w:val="right" w:pos="8504"/>
      </w:tabs>
      <w:spacing w:after="0" w:line="240" w:lineRule="auto"/>
      <w:jc w:val="center"/>
      <w:rPr>
        <w:rFonts w:ascii="Gadugi" w:eastAsia="Gadugi" w:hAnsi="Gadugi" w:cs="Gadugi"/>
        <w:sz w:val="18"/>
        <w:szCs w:val="18"/>
      </w:rPr>
    </w:pPr>
    <w:hyperlink r:id="rId1">
      <w:r w:rsidR="009A2A4C">
        <w:rPr>
          <w:rFonts w:ascii="Gadugi" w:eastAsia="Gadugi" w:hAnsi="Gadugi" w:cs="Gadugi"/>
          <w:color w:val="0000FF"/>
          <w:sz w:val="18"/>
          <w:szCs w:val="18"/>
          <w:u w:val="single"/>
        </w:rPr>
        <w:t>abedoya@iyd.com.co</w:t>
      </w:r>
    </w:hyperlink>
  </w:p>
  <w:p w14:paraId="70E4E62C" w14:textId="77777777" w:rsidR="007462F0" w:rsidRDefault="009A2A4C">
    <w:pPr>
      <w:tabs>
        <w:tab w:val="center" w:pos="4252"/>
        <w:tab w:val="right" w:pos="8504"/>
      </w:tabs>
      <w:spacing w:after="0" w:line="240" w:lineRule="auto"/>
      <w:jc w:val="center"/>
      <w:rPr>
        <w:rFonts w:ascii="Gadugi" w:eastAsia="Gadugi" w:hAnsi="Gadugi" w:cs="Gadugi"/>
        <w:sz w:val="18"/>
        <w:szCs w:val="18"/>
      </w:rPr>
    </w:pPr>
    <w:r>
      <w:rPr>
        <w:rFonts w:ascii="Gadugi" w:eastAsia="Gadugi" w:hAnsi="Gadugi" w:cs="Gadugi"/>
        <w:sz w:val="18"/>
        <w:szCs w:val="18"/>
      </w:rPr>
      <w:t>Manizales - Colombia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E92F8" w14:textId="77777777" w:rsidR="0094270F" w:rsidRDefault="0094270F">
      <w:pPr>
        <w:spacing w:after="0" w:line="240" w:lineRule="auto"/>
      </w:pPr>
      <w:r>
        <w:separator/>
      </w:r>
    </w:p>
  </w:footnote>
  <w:footnote w:type="continuationSeparator" w:id="0">
    <w:p w14:paraId="235AAA2F" w14:textId="77777777" w:rsidR="0094270F" w:rsidRDefault="009427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5DCCB" w14:textId="77777777" w:rsidR="007462F0" w:rsidRDefault="007462F0">
    <w:pPr>
      <w:widowControl w:val="0"/>
      <w:pBdr>
        <w:top w:val="nil"/>
        <w:left w:val="nil"/>
        <w:bottom w:val="nil"/>
        <w:right w:val="nil"/>
        <w:between w:val="nil"/>
      </w:pBdr>
      <w:spacing w:after="0" w:line="276" w:lineRule="auto"/>
      <w:rPr>
        <w:rFonts w:ascii="Gadugi" w:eastAsia="Gadugi" w:hAnsi="Gadugi" w:cs="Gadugi"/>
        <w:color w:val="000000"/>
      </w:rPr>
    </w:pPr>
  </w:p>
  <w:tbl>
    <w:tblPr>
      <w:tblStyle w:val="a1"/>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4961"/>
      <w:gridCol w:w="1276"/>
      <w:gridCol w:w="1701"/>
    </w:tblGrid>
    <w:tr w:rsidR="007462F0" w14:paraId="1BA06772" w14:textId="77777777">
      <w:trPr>
        <w:trHeight w:val="557"/>
      </w:trPr>
      <w:tc>
        <w:tcPr>
          <w:tcW w:w="1413" w:type="dxa"/>
          <w:vMerge w:val="restart"/>
          <w:tcBorders>
            <w:top w:val="single" w:sz="4" w:space="0" w:color="000000"/>
            <w:left w:val="single" w:sz="4" w:space="0" w:color="000000"/>
            <w:bottom w:val="single" w:sz="4" w:space="0" w:color="000000"/>
            <w:right w:val="single" w:sz="4" w:space="0" w:color="000000"/>
          </w:tcBorders>
        </w:tcPr>
        <w:p w14:paraId="7FC42EBC" w14:textId="77777777" w:rsidR="007462F0" w:rsidRDefault="009A2A4C">
          <w:r>
            <w:rPr>
              <w:noProof/>
            </w:rPr>
            <w:drawing>
              <wp:anchor distT="0" distB="0" distL="114300" distR="114300" simplePos="0" relativeHeight="251658240" behindDoc="0" locked="0" layoutInCell="1" hidden="0" allowOverlap="1" wp14:anchorId="28F0507F" wp14:editId="264CCE3D">
                <wp:simplePos x="0" y="0"/>
                <wp:positionH relativeFrom="column">
                  <wp:posOffset>22861</wp:posOffset>
                </wp:positionH>
                <wp:positionV relativeFrom="paragraph">
                  <wp:posOffset>153670</wp:posOffset>
                </wp:positionV>
                <wp:extent cx="754380" cy="754380"/>
                <wp:effectExtent l="0" t="0" r="0" b="0"/>
                <wp:wrapNone/>
                <wp:docPr id="2110191437"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
                        <a:srcRect/>
                        <a:stretch>
                          <a:fillRect/>
                        </a:stretch>
                      </pic:blipFill>
                      <pic:spPr>
                        <a:xfrm>
                          <a:off x="0" y="0"/>
                          <a:ext cx="754380" cy="754380"/>
                        </a:xfrm>
                        <a:prstGeom prst="rect">
                          <a:avLst/>
                        </a:prstGeom>
                        <a:ln/>
                      </pic:spPr>
                    </pic:pic>
                  </a:graphicData>
                </a:graphic>
              </wp:anchor>
            </w:drawing>
          </w:r>
        </w:p>
      </w:tc>
      <w:tc>
        <w:tcPr>
          <w:tcW w:w="4961" w:type="dxa"/>
          <w:tcBorders>
            <w:top w:val="single" w:sz="4" w:space="0" w:color="000000"/>
            <w:left w:val="single" w:sz="4" w:space="0" w:color="000000"/>
            <w:bottom w:val="single" w:sz="4" w:space="0" w:color="000000"/>
            <w:right w:val="single" w:sz="4" w:space="0" w:color="000000"/>
          </w:tcBorders>
        </w:tcPr>
        <w:p w14:paraId="2441DE15" w14:textId="77777777" w:rsidR="007462F0" w:rsidRDefault="007462F0">
          <w:pPr>
            <w:jc w:val="center"/>
            <w:rPr>
              <w:rFonts w:ascii="Gadugi" w:eastAsia="Gadugi" w:hAnsi="Gadugi" w:cs="Gadugi"/>
              <w:b/>
              <w:color w:val="000000"/>
            </w:rPr>
          </w:pPr>
        </w:p>
        <w:p w14:paraId="0DF181CE" w14:textId="77777777" w:rsidR="007462F0" w:rsidRDefault="009A2A4C">
          <w:pPr>
            <w:jc w:val="center"/>
            <w:rPr>
              <w:rFonts w:ascii="Gadugi" w:eastAsia="Gadugi" w:hAnsi="Gadugi" w:cs="Gadugi"/>
              <w:b/>
              <w:color w:val="000000"/>
            </w:rPr>
          </w:pPr>
          <w:r>
            <w:rPr>
              <w:rFonts w:ascii="Gadugi" w:eastAsia="Gadugi" w:hAnsi="Gadugi" w:cs="Gadugi"/>
              <w:b/>
              <w:color w:val="000000"/>
            </w:rPr>
            <w:t>SISTEMA DE GESTIÓN</w:t>
          </w:r>
        </w:p>
        <w:p w14:paraId="050D7BD4" w14:textId="77777777" w:rsidR="007462F0" w:rsidRDefault="007462F0">
          <w:pPr>
            <w:jc w:val="center"/>
            <w:rPr>
              <w:rFonts w:ascii="Gadugi" w:eastAsia="Gadugi" w:hAnsi="Gadugi" w:cs="Gadugi"/>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1542C22" w14:textId="77777777" w:rsidR="007462F0" w:rsidRDefault="007462F0">
          <w:pPr>
            <w:jc w:val="center"/>
            <w:rPr>
              <w:rFonts w:ascii="Gadugi" w:eastAsia="Gadugi" w:hAnsi="Gadugi" w:cs="Gadugi"/>
              <w:color w:val="000000"/>
            </w:rPr>
          </w:pPr>
        </w:p>
        <w:p w14:paraId="452E166D" w14:textId="77777777" w:rsidR="007462F0" w:rsidRDefault="009A2A4C">
          <w:pPr>
            <w:jc w:val="center"/>
            <w:rPr>
              <w:rFonts w:ascii="Gadugi" w:eastAsia="Gadugi" w:hAnsi="Gadugi" w:cs="Gadugi"/>
              <w:color w:val="000000"/>
            </w:rPr>
          </w:pPr>
          <w:r>
            <w:rPr>
              <w:rFonts w:ascii="Gadugi" w:eastAsia="Gadugi" w:hAnsi="Gadugi" w:cs="Gadugi"/>
              <w:color w:val="000000"/>
            </w:rPr>
            <w:t>F-57</w:t>
          </w:r>
        </w:p>
        <w:p w14:paraId="141F3A07" w14:textId="77777777" w:rsidR="007462F0" w:rsidRDefault="007462F0">
          <w:pPr>
            <w:jc w:val="center"/>
            <w:rPr>
              <w:rFonts w:ascii="Gadugi" w:eastAsia="Gadugi" w:hAnsi="Gadugi" w:cs="Gadugi"/>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D01DDA3" w14:textId="77777777" w:rsidR="007462F0" w:rsidRDefault="009A2A4C">
          <w:pPr>
            <w:jc w:val="center"/>
            <w:rPr>
              <w:rFonts w:ascii="Gadugi" w:eastAsia="Gadugi" w:hAnsi="Gadugi" w:cs="Gadugi"/>
            </w:rPr>
          </w:pPr>
          <w:r>
            <w:rPr>
              <w:rFonts w:ascii="Gadugi" w:eastAsia="Gadugi" w:hAnsi="Gadugi" w:cs="Gadugi"/>
            </w:rPr>
            <w:t xml:space="preserve">PAG </w:t>
          </w:r>
          <w:r>
            <w:rPr>
              <w:rFonts w:ascii="Gadugi" w:eastAsia="Gadugi" w:hAnsi="Gadugi" w:cs="Gadugi"/>
              <w:b/>
            </w:rPr>
            <w:fldChar w:fldCharType="begin"/>
          </w:r>
          <w:r>
            <w:rPr>
              <w:rFonts w:ascii="Gadugi" w:eastAsia="Gadugi" w:hAnsi="Gadugi" w:cs="Gadugi"/>
              <w:b/>
            </w:rPr>
            <w:instrText>PAGE</w:instrText>
          </w:r>
          <w:r>
            <w:rPr>
              <w:rFonts w:ascii="Gadugi" w:eastAsia="Gadugi" w:hAnsi="Gadugi" w:cs="Gadugi"/>
              <w:b/>
            </w:rPr>
            <w:fldChar w:fldCharType="separate"/>
          </w:r>
          <w:r w:rsidR="008621BF">
            <w:rPr>
              <w:rFonts w:ascii="Gadugi" w:eastAsia="Gadugi" w:hAnsi="Gadugi" w:cs="Gadugi"/>
              <w:b/>
              <w:noProof/>
            </w:rPr>
            <w:t>1</w:t>
          </w:r>
          <w:r>
            <w:rPr>
              <w:rFonts w:ascii="Gadugi" w:eastAsia="Gadugi" w:hAnsi="Gadugi" w:cs="Gadugi"/>
              <w:b/>
            </w:rPr>
            <w:fldChar w:fldCharType="end"/>
          </w:r>
          <w:r>
            <w:rPr>
              <w:rFonts w:ascii="Gadugi" w:eastAsia="Gadugi" w:hAnsi="Gadugi" w:cs="Gadugi"/>
            </w:rPr>
            <w:t xml:space="preserve"> DE </w:t>
          </w:r>
          <w:r>
            <w:rPr>
              <w:rFonts w:ascii="Gadugi" w:eastAsia="Gadugi" w:hAnsi="Gadugi" w:cs="Gadugi"/>
              <w:b/>
            </w:rPr>
            <w:fldChar w:fldCharType="begin"/>
          </w:r>
          <w:r>
            <w:rPr>
              <w:rFonts w:ascii="Gadugi" w:eastAsia="Gadugi" w:hAnsi="Gadugi" w:cs="Gadugi"/>
              <w:b/>
            </w:rPr>
            <w:instrText>NUMPAGES</w:instrText>
          </w:r>
          <w:r>
            <w:rPr>
              <w:rFonts w:ascii="Gadugi" w:eastAsia="Gadugi" w:hAnsi="Gadugi" w:cs="Gadugi"/>
              <w:b/>
            </w:rPr>
            <w:fldChar w:fldCharType="separate"/>
          </w:r>
          <w:r w:rsidR="008621BF">
            <w:rPr>
              <w:rFonts w:ascii="Gadugi" w:eastAsia="Gadugi" w:hAnsi="Gadugi" w:cs="Gadugi"/>
              <w:b/>
              <w:noProof/>
            </w:rPr>
            <w:t>2</w:t>
          </w:r>
          <w:r>
            <w:rPr>
              <w:rFonts w:ascii="Gadugi" w:eastAsia="Gadugi" w:hAnsi="Gadugi" w:cs="Gadugi"/>
              <w:b/>
            </w:rPr>
            <w:fldChar w:fldCharType="end"/>
          </w:r>
        </w:p>
      </w:tc>
    </w:tr>
    <w:tr w:rsidR="007462F0" w14:paraId="78145C90" w14:textId="77777777">
      <w:trPr>
        <w:trHeight w:val="732"/>
      </w:trPr>
      <w:tc>
        <w:tcPr>
          <w:tcW w:w="1413" w:type="dxa"/>
          <w:vMerge/>
          <w:tcBorders>
            <w:top w:val="single" w:sz="4" w:space="0" w:color="000000"/>
            <w:left w:val="single" w:sz="4" w:space="0" w:color="000000"/>
            <w:bottom w:val="single" w:sz="4" w:space="0" w:color="000000"/>
            <w:right w:val="single" w:sz="4" w:space="0" w:color="000000"/>
          </w:tcBorders>
        </w:tcPr>
        <w:p w14:paraId="73AD40D9" w14:textId="77777777" w:rsidR="007462F0" w:rsidRDefault="007462F0">
          <w:pPr>
            <w:pBdr>
              <w:top w:val="nil"/>
              <w:left w:val="nil"/>
              <w:bottom w:val="nil"/>
              <w:right w:val="nil"/>
              <w:between w:val="nil"/>
            </w:pBdr>
            <w:spacing w:line="276" w:lineRule="auto"/>
            <w:rPr>
              <w:rFonts w:ascii="Gadugi" w:eastAsia="Gadugi" w:hAnsi="Gadugi" w:cs="Gadugi"/>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DCD20" w14:textId="77777777" w:rsidR="007462F0" w:rsidRDefault="009A2A4C">
          <w:pPr>
            <w:jc w:val="center"/>
            <w:rPr>
              <w:rFonts w:ascii="Gadugi" w:eastAsia="Gadugi" w:hAnsi="Gadugi" w:cs="Gadugi"/>
              <w:b/>
              <w:color w:val="000000"/>
            </w:rPr>
          </w:pPr>
          <w:r>
            <w:rPr>
              <w:rFonts w:ascii="Gadugi" w:eastAsia="Gadugi" w:hAnsi="Gadugi" w:cs="Gadugi"/>
              <w:b/>
              <w:color w:val="000000"/>
              <w:sz w:val="24"/>
              <w:szCs w:val="24"/>
            </w:rPr>
            <w:t>FORMATO MEMORIA DE CÁLCULO</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32E0D" w14:textId="77777777" w:rsidR="007462F0" w:rsidRDefault="009A2A4C">
          <w:pPr>
            <w:jc w:val="center"/>
            <w:rPr>
              <w:rFonts w:ascii="Gadugi" w:eastAsia="Gadugi" w:hAnsi="Gadugi" w:cs="Gadugi"/>
            </w:rPr>
          </w:pPr>
          <w:r>
            <w:rPr>
              <w:rFonts w:ascii="Gadugi" w:eastAsia="Gadugi" w:hAnsi="Gadugi" w:cs="Gadugi"/>
            </w:rPr>
            <w:t>FEBRERO 2024</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9A7201" w14:textId="77777777" w:rsidR="007462F0" w:rsidRDefault="009A2A4C">
          <w:pPr>
            <w:jc w:val="center"/>
            <w:rPr>
              <w:rFonts w:ascii="Gadugi" w:eastAsia="Gadugi" w:hAnsi="Gadugi" w:cs="Gadugi"/>
            </w:rPr>
          </w:pPr>
          <w:r>
            <w:rPr>
              <w:rFonts w:ascii="Gadugi" w:eastAsia="Gadugi" w:hAnsi="Gadugi" w:cs="Gadugi"/>
            </w:rPr>
            <w:t>VERSIÓN: 0</w:t>
          </w:r>
        </w:p>
      </w:tc>
    </w:tr>
  </w:tbl>
  <w:p w14:paraId="402FF61A" w14:textId="77777777" w:rsidR="007462F0" w:rsidRDefault="007462F0">
    <w:pPr>
      <w:spacing w:after="177"/>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DFFBF" w14:textId="77777777" w:rsidR="007462F0" w:rsidRDefault="009A2A4C">
    <w:pPr>
      <w:rPr>
        <w:sz w:val="18"/>
        <w:szCs w:val="18"/>
      </w:rPr>
    </w:pPr>
    <w:r>
      <w:rPr>
        <w:noProof/>
      </w:rPr>
      <w:drawing>
        <wp:anchor distT="0" distB="0" distL="114300" distR="114300" simplePos="0" relativeHeight="251659264" behindDoc="0" locked="0" layoutInCell="1" hidden="0" allowOverlap="1" wp14:anchorId="6B90B32E" wp14:editId="2936CE51">
          <wp:simplePos x="0" y="0"/>
          <wp:positionH relativeFrom="column">
            <wp:posOffset>5333735</wp:posOffset>
          </wp:positionH>
          <wp:positionV relativeFrom="paragraph">
            <wp:posOffset>-189797</wp:posOffset>
          </wp:positionV>
          <wp:extent cx="650875" cy="621665"/>
          <wp:effectExtent l="0" t="0" r="0" b="0"/>
          <wp:wrapSquare wrapText="bothSides" distT="0" distB="0" distL="114300" distR="114300"/>
          <wp:docPr id="2110191436" name="image6.png" descr="Text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6.png" descr="Texto&#10;&#10;Descripción generada automáticamente con confianza baja"/>
                  <pic:cNvPicPr preferRelativeResize="0"/>
                </pic:nvPicPr>
                <pic:blipFill>
                  <a:blip r:embed="rId1"/>
                  <a:srcRect r="78205"/>
                  <a:stretch>
                    <a:fillRect/>
                  </a:stretch>
                </pic:blipFill>
                <pic:spPr>
                  <a:xfrm>
                    <a:off x="0" y="0"/>
                    <a:ext cx="650875" cy="621665"/>
                  </a:xfrm>
                  <a:prstGeom prst="rect">
                    <a:avLst/>
                  </a:prstGeom>
                  <a:ln/>
                </pic:spPr>
              </pic:pic>
            </a:graphicData>
          </a:graphic>
        </wp:anchor>
      </w:drawing>
    </w:r>
  </w:p>
  <w:p w14:paraId="1288EFCC" w14:textId="77777777" w:rsidR="007462F0" w:rsidRDefault="009A2A4C">
    <w:pPr>
      <w:pBdr>
        <w:top w:val="nil"/>
        <w:left w:val="nil"/>
        <w:bottom w:val="nil"/>
        <w:right w:val="nil"/>
        <w:between w:val="nil"/>
      </w:pBdr>
      <w:tabs>
        <w:tab w:val="center" w:pos="4419"/>
        <w:tab w:val="right" w:pos="8838"/>
        <w:tab w:val="left" w:pos="7716"/>
      </w:tabs>
      <w:spacing w:after="0" w:line="240" w:lineRule="auto"/>
      <w:rPr>
        <w:color w:val="000000"/>
      </w:rPr>
    </w:pPr>
    <w:r>
      <w:rPr>
        <w:noProof/>
        <w:color w:val="000000"/>
      </w:rPr>
      <mc:AlternateContent>
        <mc:Choice Requires="wps">
          <w:drawing>
            <wp:anchor distT="0" distB="0" distL="0" distR="0" simplePos="0" relativeHeight="251660288" behindDoc="1" locked="0" layoutInCell="1" hidden="0" allowOverlap="1" wp14:anchorId="3695D4C4" wp14:editId="2D1026CA">
              <wp:simplePos x="0" y="0"/>
              <wp:positionH relativeFrom="page">
                <wp:posOffset>5634038</wp:posOffset>
              </wp:positionH>
              <wp:positionV relativeFrom="page">
                <wp:posOffset>803263</wp:posOffset>
              </wp:positionV>
              <wp:extent cx="1066800" cy="443865"/>
              <wp:effectExtent l="0" t="0" r="0" b="0"/>
              <wp:wrapNone/>
              <wp:docPr id="2110191432" name="Rectángulo 2110191432"/>
              <wp:cNvGraphicFramePr/>
              <a:graphic xmlns:a="http://schemas.openxmlformats.org/drawingml/2006/main">
                <a:graphicData uri="http://schemas.microsoft.com/office/word/2010/wordprocessingShape">
                  <wps:wsp>
                    <wps:cNvSpPr/>
                    <wps:spPr>
                      <a:xfrm>
                        <a:off x="4817363" y="3562830"/>
                        <a:ext cx="1057275" cy="434340"/>
                      </a:xfrm>
                      <a:prstGeom prst="rect">
                        <a:avLst/>
                      </a:prstGeom>
                      <a:noFill/>
                      <a:ln>
                        <a:noFill/>
                      </a:ln>
                    </wps:spPr>
                    <wps:txbx>
                      <w:txbxContent>
                        <w:p w14:paraId="4C0EECFA" w14:textId="77777777" w:rsidR="007462F0" w:rsidRDefault="009A2A4C">
                          <w:pPr>
                            <w:spacing w:line="240" w:lineRule="auto"/>
                            <w:ind w:left="20" w:firstLine="20"/>
                            <w:jc w:val="right"/>
                            <w:textDirection w:val="btLr"/>
                          </w:pPr>
                          <w:r>
                            <w:rPr>
                              <w:color w:val="000000"/>
                              <w:sz w:val="18"/>
                            </w:rPr>
                            <w:t>Fecha:30/08/2022</w:t>
                          </w:r>
                        </w:p>
                        <w:p w14:paraId="73A60085" w14:textId="77777777" w:rsidR="007462F0" w:rsidRDefault="009A2A4C">
                          <w:pPr>
                            <w:spacing w:line="240" w:lineRule="auto"/>
                            <w:jc w:val="right"/>
                            <w:textDirection w:val="btLr"/>
                          </w:pPr>
                          <w:r>
                            <w:rPr>
                              <w:color w:val="000000"/>
                              <w:sz w:val="18"/>
                            </w:rPr>
                            <w:t>Revisión:00</w:t>
                          </w:r>
                        </w:p>
                      </w:txbxContent>
                    </wps:txbx>
                    <wps:bodyPr spcFirstLastPara="1" wrap="square" lIns="0" tIns="0" rIns="0" bIns="0" anchor="t" anchorCtr="0">
                      <a:noAutofit/>
                    </wps:bodyPr>
                  </wps:wsp>
                </a:graphicData>
              </a:graphic>
            </wp:anchor>
          </w:drawing>
        </mc:Choice>
        <mc:Fallback>
          <w:pict>
            <v:rect w14:anchorId="3695D4C4" id="Rectángulo 2110191432" o:spid="_x0000_s1026" style="position:absolute;margin-left:443.65pt;margin-top:63.25pt;width:84pt;height:34.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" filled="f" stroked="f">
              <v:textbox inset="0,0,0,0">
                <w:txbxContent>
                  <w:p w14:paraId="4C0EECFA" w14:textId="77777777" w:rsidR="007462F0" w:rsidRDefault="009A2A4C">
                    <w:pPr>
                      <w:spacing w:line="240" w:lineRule="auto"/>
                      <w:ind w:left="20" w:firstLine="20"/>
                      <w:jc w:val="right"/>
                      <w:textDirection w:val="btLr"/>
                    </w:pPr>
                    <w:r>
                      <w:rPr>
                        <w:color w:val="000000"/>
                        <w:sz w:val="18"/>
                      </w:rPr>
                      <w:t>Fecha:30/08/2022</w:t>
                    </w:r>
                  </w:p>
                  <w:p w14:paraId="73A60085" w14:textId="77777777" w:rsidR="007462F0" w:rsidRDefault="009A2A4C">
                    <w:pPr>
                      <w:spacing w:line="240" w:lineRule="auto"/>
                      <w:jc w:val="right"/>
                      <w:textDirection w:val="btLr"/>
                    </w:pPr>
                    <w:r>
                      <w:rPr>
                        <w:color w:val="000000"/>
                        <w:sz w:val="18"/>
                      </w:rPr>
                      <w:t>Revisión:00</w:t>
                    </w:r>
                  </w:p>
                </w:txbxContent>
              </v:textbox>
              <w10:wrap anchorx="page" anchory="page"/>
            </v:rect>
          </w:pict>
        </mc:Fallback>
      </mc:AlternateContent>
    </w:r>
    <w:r>
      <w:rPr>
        <w:noProof/>
        <w:color w:val="000000"/>
      </w:rPr>
      <mc:AlternateContent>
        <mc:Choice Requires="wps">
          <w:drawing>
            <wp:anchor distT="0" distB="0" distL="0" distR="0" simplePos="0" relativeHeight="251661312" behindDoc="1" locked="0" layoutInCell="1" hidden="0" allowOverlap="1" wp14:anchorId="5FACE713" wp14:editId="0729BFFD">
              <wp:simplePos x="0" y="0"/>
              <wp:positionH relativeFrom="page">
                <wp:posOffset>978218</wp:posOffset>
              </wp:positionH>
              <wp:positionV relativeFrom="page">
                <wp:posOffset>788023</wp:posOffset>
              </wp:positionV>
              <wp:extent cx="2200275" cy="123190"/>
              <wp:effectExtent l="0" t="0" r="0" b="0"/>
              <wp:wrapNone/>
              <wp:docPr id="2110191434" name="Rectángulo 2110191434"/>
              <wp:cNvGraphicFramePr/>
              <a:graphic xmlns:a="http://schemas.openxmlformats.org/drawingml/2006/main">
                <a:graphicData uri="http://schemas.microsoft.com/office/word/2010/wordprocessingShape">
                  <wps:wsp>
                    <wps:cNvSpPr/>
                    <wps:spPr>
                      <a:xfrm>
                        <a:off x="4250625" y="3723168"/>
                        <a:ext cx="2190750" cy="113665"/>
                      </a:xfrm>
                      <a:prstGeom prst="rect">
                        <a:avLst/>
                      </a:prstGeom>
                      <a:noFill/>
                      <a:ln>
                        <a:noFill/>
                      </a:ln>
                    </wps:spPr>
                    <wps:txbx>
                      <w:txbxContent>
                        <w:p w14:paraId="31154047" w14:textId="77777777" w:rsidR="007462F0" w:rsidRDefault="009A2A4C">
                          <w:pPr>
                            <w:spacing w:before="1" w:line="258" w:lineRule="auto"/>
                            <w:ind w:left="20" w:firstLine="20"/>
                            <w:textDirection w:val="btLr"/>
                          </w:pPr>
                          <w:r>
                            <w:rPr>
                              <w:color w:val="000000"/>
                              <w:sz w:val="18"/>
                            </w:rPr>
                            <w:t xml:space="preserve">INGENIERIA DE DETALLE </w:t>
                          </w:r>
                        </w:p>
                      </w:txbxContent>
                    </wps:txbx>
                    <wps:bodyPr spcFirstLastPara="1" wrap="square" lIns="0" tIns="0" rIns="0" bIns="0" anchor="t" anchorCtr="0">
                      <a:noAutofit/>
                    </wps:bodyPr>
                  </wps:wsp>
                </a:graphicData>
              </a:graphic>
            </wp:anchor>
          </w:drawing>
        </mc:Choice>
        <mc:Fallback>
          <w:pict>
            <v:rect w14:anchorId="5FACE713" id="Rectángulo 2110191434" o:spid="_x0000_s1027" style="position:absolute;margin-left:77.05pt;margin-top:62.05pt;width:173.25pt;height:9.7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" filled="f" stroked="f">
              <v:textbox inset="0,0,0,0">
                <w:txbxContent>
                  <w:p w14:paraId="31154047" w14:textId="77777777" w:rsidR="007462F0" w:rsidRDefault="009A2A4C">
                    <w:pPr>
                      <w:spacing w:before="1" w:line="258" w:lineRule="auto"/>
                      <w:ind w:left="20" w:firstLine="20"/>
                      <w:textDirection w:val="btLr"/>
                    </w:pPr>
                    <w:r>
                      <w:rPr>
                        <w:color w:val="000000"/>
                        <w:sz w:val="18"/>
                      </w:rPr>
                      <w:t xml:space="preserve">INGENIERIA DE DETALLE </w:t>
                    </w:r>
                  </w:p>
                </w:txbxContent>
              </v:textbox>
              <w10:wrap anchorx="page" anchory="page"/>
            </v:rect>
          </w:pict>
        </mc:Fallback>
      </mc:AlternateContent>
    </w:r>
    <w:r>
      <w:rPr>
        <w:noProof/>
        <w:color w:val="000000"/>
      </w:rPr>
      <mc:AlternateContent>
        <mc:Choice Requires="wpg">
          <w:drawing>
            <wp:anchor distT="0" distB="0" distL="0" distR="0" simplePos="0" relativeHeight="251662336" behindDoc="1" locked="0" layoutInCell="1" hidden="0" allowOverlap="1" wp14:anchorId="67B6F897" wp14:editId="716BB515">
              <wp:simplePos x="0" y="0"/>
              <wp:positionH relativeFrom="page">
                <wp:posOffset>942975</wp:posOffset>
              </wp:positionH>
              <wp:positionV relativeFrom="page">
                <wp:posOffset>738175</wp:posOffset>
              </wp:positionV>
              <wp:extent cx="5751195" cy="1270"/>
              <wp:effectExtent l="0" t="0" r="0" b="0"/>
              <wp:wrapNone/>
              <wp:docPr id="2110191433" name="Grupo 2110191433"/>
              <wp:cNvGraphicFramePr/>
              <a:graphic xmlns:a="http://schemas.openxmlformats.org/drawingml/2006/main">
                <a:graphicData uri="http://schemas.microsoft.com/office/word/2010/wordprocessingGroup">
                  <wpg:wgp>
                    <wpg:cNvGrpSpPr/>
                    <wpg:grpSpPr>
                      <a:xfrm>
                        <a:off x="0" y="0"/>
                        <a:ext cx="5751195" cy="1270"/>
                        <a:chOff x="2470400" y="3774600"/>
                        <a:chExt cx="5750575" cy="9550"/>
                      </a:xfrm>
                    </wpg:grpSpPr>
                    <wpg:grpSp>
                      <wpg:cNvPr id="1" name="Grupo 1"/>
                      <wpg:cNvGrpSpPr/>
                      <wpg:grpSpPr>
                        <a:xfrm>
                          <a:off x="2470403" y="3779365"/>
                          <a:ext cx="5751195" cy="1270"/>
                          <a:chOff x="1568" y="1531"/>
                          <a:chExt cx="9057" cy="2"/>
                        </a:xfrm>
                      </wpg:grpSpPr>
                      <wps:wsp>
                        <wps:cNvPr id="2" name="Rectángulo 2"/>
                        <wps:cNvSpPr/>
                        <wps:spPr>
                          <a:xfrm>
                            <a:off x="1568" y="1531"/>
                            <a:ext cx="9050" cy="0"/>
                          </a:xfrm>
                          <a:prstGeom prst="rect">
                            <a:avLst/>
                          </a:prstGeom>
                          <a:noFill/>
                          <a:ln>
                            <a:noFill/>
                          </a:ln>
                        </wps:spPr>
                        <wps:txbx>
                          <w:txbxContent>
                            <w:p w14:paraId="69D459E4" w14:textId="77777777" w:rsidR="007462F0" w:rsidRDefault="007462F0">
                              <w:pPr>
                                <w:spacing w:after="0" w:line="240" w:lineRule="auto"/>
                                <w:textDirection w:val="btLr"/>
                              </w:pPr>
                            </w:p>
                          </w:txbxContent>
                        </wps:txbx>
                        <wps:bodyPr spcFirstLastPara="1" wrap="square" lIns="91425" tIns="91425" rIns="91425" bIns="91425" anchor="ctr" anchorCtr="0">
                          <a:noAutofit/>
                        </wps:bodyPr>
                      </wps:wsp>
                      <wps:wsp>
                        <wps:cNvPr id="3" name="Forma libre: forma 3"/>
                        <wps:cNvSpPr/>
                        <wps:spPr>
                          <a:xfrm>
                            <a:off x="1568" y="1531"/>
                            <a:ext cx="9057" cy="2"/>
                          </a:xfrm>
                          <a:custGeom>
                            <a:avLst/>
                            <a:gdLst/>
                            <a:ahLst/>
                            <a:cxnLst/>
                            <a:rect l="l" t="t" r="r" b="b"/>
                            <a:pathLst>
                              <a:path w="9057" h="120000" extrusionOk="0">
                                <a:moveTo>
                                  <a:pt x="0" y="0"/>
                                </a:moveTo>
                                <a:lnTo>
                                  <a:pt x="9056"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67B6F897" id="Grupo 2110191433" o:spid="_x0000_s1028" style="position:absolute;margin-left:74.25pt;margin-top:58.1pt;width:452.85pt;height:.1pt;z-index:-251654144;mso-wrap-distance-left:0;mso-wrap-distance-right:0;mso-position-horizontal-relative:page;mso-position-vertical-relative:page" coordorigin="24704,37746" coordsize="5750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">
              <v:group id="Grupo 1" o:spid="_x0000_s1029" style="position:absolute;left:24704;top:37793;width:57511;height:13" coordorigin="1568,1531" coordsize="90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ángulo 2" o:spid="_x0000_s1030" style="position:absolute;left:1568;top:1531;width:90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69D459E4" w14:textId="77777777" w:rsidR="007462F0" w:rsidRDefault="007462F0">
                        <w:pPr>
                          <w:spacing w:after="0" w:line="240" w:lineRule="auto"/>
                          <w:textDirection w:val="btLr"/>
                        </w:pPr>
                      </w:p>
                    </w:txbxContent>
                  </v:textbox>
                </v:rect>
                <v:shape id="Forma libre: forma 3" o:spid="_x0000_s1031" style="position:absolute;left:1568;top:1531;width:9057;height:2;visibility:visible;mso-wrap-style:square;v-text-anchor:middle" coordsize="9057,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" path="m,l9056,e" filled="f">
                  <v:path arrowok="t" o:extrusionok="f"/>
                </v:shape>
              </v:group>
              <w10:wrap anchorx="page" anchory="page"/>
            </v:group>
          </w:pict>
        </mc:Fallback>
      </mc:AlternateContent>
    </w:r>
    <w:r>
      <w:rPr>
        <w:color w:val="000000"/>
      </w:rPr>
      <w:tab/>
    </w:r>
    <w:r>
      <w:rPr>
        <w:color w:val="000000"/>
      </w:rPr>
      <w:tab/>
    </w:r>
    <w:r>
      <w:rPr>
        <w:color w:val="00000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54C7"/>
    <w:multiLevelType w:val="multilevel"/>
    <w:tmpl w:val="336620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4F60C54"/>
    <w:multiLevelType w:val="multilevel"/>
    <w:tmpl w:val="3ECC93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8474669"/>
    <w:multiLevelType w:val="multilevel"/>
    <w:tmpl w:val="E6AA8C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2B30ADF"/>
    <w:multiLevelType w:val="multilevel"/>
    <w:tmpl w:val="7778D0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3F55BD5"/>
    <w:multiLevelType w:val="multilevel"/>
    <w:tmpl w:val="92DED0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B7D0F0B"/>
    <w:multiLevelType w:val="multilevel"/>
    <w:tmpl w:val="762006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8C05B17"/>
    <w:multiLevelType w:val="multilevel"/>
    <w:tmpl w:val="7D9668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C52648A"/>
    <w:multiLevelType w:val="multilevel"/>
    <w:tmpl w:val="C1542E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86F137D"/>
    <w:multiLevelType w:val="multilevel"/>
    <w:tmpl w:val="96B416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C906998"/>
    <w:multiLevelType w:val="multilevel"/>
    <w:tmpl w:val="89A857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0EF29AF"/>
    <w:multiLevelType w:val="multilevel"/>
    <w:tmpl w:val="8FCCE9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57F3235"/>
    <w:multiLevelType w:val="multilevel"/>
    <w:tmpl w:val="B19665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3017620"/>
    <w:multiLevelType w:val="multilevel"/>
    <w:tmpl w:val="FBE66D6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32A519D"/>
    <w:multiLevelType w:val="multilevel"/>
    <w:tmpl w:val="75F46D2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6"/>
  </w:num>
  <w:num w:numId="3">
    <w:abstractNumId w:val="4"/>
  </w:num>
  <w:num w:numId="4">
    <w:abstractNumId w:val="5"/>
  </w:num>
  <w:num w:numId="5">
    <w:abstractNumId w:val="3"/>
  </w:num>
  <w:num w:numId="6">
    <w:abstractNumId w:val="7"/>
  </w:num>
  <w:num w:numId="7">
    <w:abstractNumId w:val="10"/>
  </w:num>
  <w:num w:numId="8">
    <w:abstractNumId w:val="1"/>
  </w:num>
  <w:num w:numId="9">
    <w:abstractNumId w:val="11"/>
  </w:num>
  <w:num w:numId="10">
    <w:abstractNumId w:val="8"/>
  </w:num>
  <w:num w:numId="11">
    <w:abstractNumId w:val="13"/>
  </w:num>
  <w:num w:numId="12">
    <w:abstractNumId w:val="12"/>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2F0"/>
    <w:rsid w:val="002815F9"/>
    <w:rsid w:val="00454394"/>
    <w:rsid w:val="0047714C"/>
    <w:rsid w:val="004D1D36"/>
    <w:rsid w:val="007462F0"/>
    <w:rsid w:val="008621BF"/>
    <w:rsid w:val="008A053E"/>
    <w:rsid w:val="0094270F"/>
    <w:rsid w:val="009A2A4C"/>
    <w:rsid w:val="00D211AC"/>
    <w:rsid w:val="00D754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EE776"/>
  <w15:docId w15:val="{E12C71BA-ABCE-4043-9694-548AE9706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DE9"/>
  </w:style>
  <w:style w:type="paragraph" w:styleId="Ttulo1">
    <w:name w:val="heading 1"/>
    <w:basedOn w:val="Normal"/>
    <w:link w:val="Ttulo1Car"/>
    <w:uiPriority w:val="9"/>
    <w:qFormat/>
    <w:rsid w:val="005F0AA8"/>
    <w:pPr>
      <w:widowControl w:val="0"/>
      <w:spacing w:before="128" w:after="0" w:line="360" w:lineRule="auto"/>
      <w:ind w:left="164"/>
      <w:outlineLvl w:val="0"/>
    </w:pPr>
    <w:rPr>
      <w:rFonts w:ascii="Arial" w:eastAsia="Arial" w:hAnsi="Arial" w:cs="Arial"/>
      <w:sz w:val="36"/>
      <w:szCs w:val="52"/>
      <w:u w:val="single"/>
    </w:rPr>
  </w:style>
  <w:style w:type="paragraph" w:styleId="Ttulo2">
    <w:name w:val="heading 2"/>
    <w:basedOn w:val="Normal"/>
    <w:link w:val="Ttulo2Car"/>
    <w:uiPriority w:val="9"/>
    <w:unhideWhenUsed/>
    <w:qFormat/>
    <w:rsid w:val="005F0AA8"/>
    <w:pPr>
      <w:widowControl w:val="0"/>
      <w:spacing w:before="131" w:after="0" w:line="360" w:lineRule="auto"/>
      <w:ind w:left="1561" w:hanging="721"/>
      <w:outlineLvl w:val="1"/>
    </w:pPr>
    <w:rPr>
      <w:rFonts w:ascii="Arial" w:eastAsia="Arial" w:hAnsi="Arial" w:cs="Arial"/>
      <w:b/>
      <w:bCs/>
      <w:color w:val="0070C0"/>
      <w:sz w:val="24"/>
      <w:szCs w:val="24"/>
      <w:u w:color="000000"/>
    </w:rPr>
  </w:style>
  <w:style w:type="paragraph" w:styleId="Ttulo3">
    <w:name w:val="heading 3"/>
    <w:basedOn w:val="Normal"/>
    <w:next w:val="Normal"/>
    <w:link w:val="Ttulo3Car"/>
    <w:uiPriority w:val="9"/>
    <w:unhideWhenUsed/>
    <w:qFormat/>
    <w:rsid w:val="005F0AA8"/>
    <w:pPr>
      <w:keepNext/>
      <w:keepLines/>
      <w:widowControl w:val="0"/>
      <w:spacing w:before="40" w:after="0" w:line="360" w:lineRule="auto"/>
      <w:outlineLvl w:val="2"/>
    </w:pPr>
    <w:rPr>
      <w:rFonts w:ascii="Arial" w:eastAsiaTheme="majorEastAsia" w:hAnsi="Arial" w:cstheme="majorBidi"/>
      <w:b/>
      <w:color w:val="0070C0"/>
      <w:sz w:val="24"/>
      <w:szCs w:val="24"/>
    </w:rPr>
  </w:style>
  <w:style w:type="paragraph" w:styleId="Ttulo4">
    <w:name w:val="heading 4"/>
    <w:basedOn w:val="Normal"/>
    <w:next w:val="Normal"/>
    <w:link w:val="Ttulo4Car"/>
    <w:uiPriority w:val="9"/>
    <w:semiHidden/>
    <w:unhideWhenUsed/>
    <w:qFormat/>
    <w:rsid w:val="005F0AA8"/>
    <w:pPr>
      <w:keepNext/>
      <w:keepLines/>
      <w:widowControl w:val="0"/>
      <w:spacing w:before="40" w:after="0" w:line="360" w:lineRule="auto"/>
      <w:jc w:val="both"/>
      <w:outlineLvl w:val="3"/>
    </w:pPr>
    <w:rPr>
      <w:rFonts w:asciiTheme="majorHAnsi" w:eastAsiaTheme="majorEastAsia" w:hAnsiTheme="majorHAnsi" w:cstheme="majorBidi"/>
      <w:i/>
      <w:iCs/>
      <w:color w:val="2F5496" w:themeColor="accent1" w:themeShade="BF"/>
      <w:sz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5F0AA8"/>
    <w:pPr>
      <w:pBdr>
        <w:bottom w:val="single" w:sz="8" w:space="4" w:color="4472C4" w:themeColor="accent1"/>
      </w:pBdr>
      <w:spacing w:after="300" w:line="360" w:lineRule="auto"/>
      <w:contextualSpacing/>
      <w:jc w:val="both"/>
    </w:pPr>
    <w:rPr>
      <w:rFonts w:asciiTheme="majorHAnsi" w:eastAsiaTheme="majorEastAsia" w:hAnsiTheme="majorHAnsi" w:cstheme="majorBidi"/>
      <w:color w:val="323E4F" w:themeColor="text2" w:themeShade="BF"/>
      <w:spacing w:val="5"/>
      <w:kern w:val="28"/>
      <w:sz w:val="52"/>
      <w:szCs w:val="52"/>
    </w:rPr>
  </w:style>
  <w:style w:type="paragraph" w:styleId="Encabezado">
    <w:name w:val="header"/>
    <w:aliases w:val="Encabezado1"/>
    <w:basedOn w:val="Normal"/>
    <w:link w:val="EncabezadoCar"/>
    <w:uiPriority w:val="99"/>
    <w:unhideWhenUsed/>
    <w:rsid w:val="005F0AA8"/>
    <w:pPr>
      <w:tabs>
        <w:tab w:val="center" w:pos="4419"/>
        <w:tab w:val="right" w:pos="8838"/>
      </w:tabs>
      <w:spacing w:after="0" w:line="240" w:lineRule="auto"/>
    </w:pPr>
  </w:style>
  <w:style w:type="character" w:customStyle="1" w:styleId="EncabezadoCar">
    <w:name w:val="Encabezado Car"/>
    <w:aliases w:val="Encabezado1 Car"/>
    <w:basedOn w:val="Fuentedeprrafopredeter"/>
    <w:link w:val="Encabezado"/>
    <w:uiPriority w:val="99"/>
    <w:rsid w:val="005F0AA8"/>
  </w:style>
  <w:style w:type="paragraph" w:styleId="Piedepgina">
    <w:name w:val="footer"/>
    <w:basedOn w:val="Normal"/>
    <w:link w:val="PiedepginaCar"/>
    <w:uiPriority w:val="99"/>
    <w:unhideWhenUsed/>
    <w:rsid w:val="005F0AA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F0AA8"/>
  </w:style>
  <w:style w:type="table" w:styleId="Tablaconcuadrcula">
    <w:name w:val="Table Grid"/>
    <w:basedOn w:val="Tablanormal"/>
    <w:uiPriority w:val="59"/>
    <w:rsid w:val="005F0A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5F0AA8"/>
    <w:rPr>
      <w:rFonts w:ascii="Arial" w:eastAsia="Arial" w:hAnsi="Arial" w:cs="Arial"/>
      <w:sz w:val="36"/>
      <w:szCs w:val="52"/>
      <w:u w:val="single"/>
    </w:rPr>
  </w:style>
  <w:style w:type="character" w:customStyle="1" w:styleId="Ttulo2Car">
    <w:name w:val="Título 2 Car"/>
    <w:basedOn w:val="Fuentedeprrafopredeter"/>
    <w:link w:val="Ttulo2"/>
    <w:uiPriority w:val="9"/>
    <w:rsid w:val="005F0AA8"/>
    <w:rPr>
      <w:rFonts w:ascii="Arial" w:eastAsia="Arial" w:hAnsi="Arial" w:cs="Arial"/>
      <w:b/>
      <w:bCs/>
      <w:color w:val="0070C0"/>
      <w:sz w:val="24"/>
      <w:szCs w:val="24"/>
      <w:u w:color="000000"/>
    </w:rPr>
  </w:style>
  <w:style w:type="character" w:customStyle="1" w:styleId="Ttulo3Car">
    <w:name w:val="Título 3 Car"/>
    <w:basedOn w:val="Fuentedeprrafopredeter"/>
    <w:link w:val="Ttulo3"/>
    <w:uiPriority w:val="9"/>
    <w:rsid w:val="005F0AA8"/>
    <w:rPr>
      <w:rFonts w:ascii="Arial" w:eastAsiaTheme="majorEastAsia" w:hAnsi="Arial" w:cstheme="majorBidi"/>
      <w:b/>
      <w:color w:val="0070C0"/>
      <w:sz w:val="24"/>
      <w:szCs w:val="24"/>
    </w:rPr>
  </w:style>
  <w:style w:type="character" w:customStyle="1" w:styleId="Ttulo4Car">
    <w:name w:val="Título 4 Car"/>
    <w:basedOn w:val="Fuentedeprrafopredeter"/>
    <w:link w:val="Ttulo4"/>
    <w:uiPriority w:val="9"/>
    <w:semiHidden/>
    <w:rsid w:val="005F0AA8"/>
    <w:rPr>
      <w:rFonts w:asciiTheme="majorHAnsi" w:eastAsiaTheme="majorEastAsia" w:hAnsiTheme="majorHAnsi" w:cstheme="majorBidi"/>
      <w:i/>
      <w:iCs/>
      <w:color w:val="2F5496" w:themeColor="accent1" w:themeShade="BF"/>
      <w:sz w:val="24"/>
    </w:rPr>
  </w:style>
  <w:style w:type="table" w:customStyle="1" w:styleId="TableNormal0">
    <w:name w:val="Table Normal"/>
    <w:uiPriority w:val="2"/>
    <w:semiHidden/>
    <w:unhideWhenUsed/>
    <w:qFormat/>
    <w:rsid w:val="005F0AA8"/>
    <w:pPr>
      <w:widowControl w:val="0"/>
      <w:spacing w:after="0" w:line="240" w:lineRule="auto"/>
    </w:pPr>
    <w:rPr>
      <w:lang w:val="en-US"/>
    </w:rPr>
    <w:tblPr>
      <w:tblInd w:w="0" w:type="dxa"/>
      <w:tblCellMar>
        <w:top w:w="0" w:type="dxa"/>
        <w:left w:w="0" w:type="dxa"/>
        <w:bottom w:w="0" w:type="dxa"/>
        <w:right w:w="0" w:type="dxa"/>
      </w:tblCellMar>
    </w:tblPr>
  </w:style>
  <w:style w:type="paragraph" w:styleId="TDC1">
    <w:name w:val="toc 1"/>
    <w:basedOn w:val="Normal"/>
    <w:uiPriority w:val="39"/>
    <w:qFormat/>
    <w:rsid w:val="005F0AA8"/>
    <w:pPr>
      <w:widowControl w:val="0"/>
      <w:spacing w:before="139" w:after="0" w:line="360" w:lineRule="auto"/>
      <w:ind w:left="764" w:hanging="284"/>
      <w:jc w:val="both"/>
    </w:pPr>
    <w:rPr>
      <w:rFonts w:ascii="Arial" w:eastAsia="Arial" w:hAnsi="Arial" w:cs="Arial"/>
      <w:sz w:val="24"/>
    </w:rPr>
  </w:style>
  <w:style w:type="paragraph" w:styleId="TDC2">
    <w:name w:val="toc 2"/>
    <w:basedOn w:val="Normal"/>
    <w:uiPriority w:val="39"/>
    <w:qFormat/>
    <w:rsid w:val="005F0AA8"/>
    <w:pPr>
      <w:widowControl w:val="0"/>
      <w:spacing w:before="139" w:after="0" w:line="360" w:lineRule="auto"/>
      <w:ind w:left="1473" w:hanging="709"/>
      <w:jc w:val="both"/>
    </w:pPr>
    <w:rPr>
      <w:rFonts w:ascii="Arial" w:eastAsia="Arial" w:hAnsi="Arial" w:cs="Arial"/>
      <w:sz w:val="24"/>
    </w:rPr>
  </w:style>
  <w:style w:type="paragraph" w:styleId="Textoindependiente">
    <w:name w:val="Body Text"/>
    <w:basedOn w:val="Normal"/>
    <w:link w:val="TextoindependienteCar"/>
    <w:uiPriority w:val="1"/>
    <w:qFormat/>
    <w:rsid w:val="005F0AA8"/>
    <w:pPr>
      <w:widowControl w:val="0"/>
      <w:spacing w:after="0" w:line="360" w:lineRule="auto"/>
      <w:jc w:val="both"/>
    </w:pPr>
    <w:rPr>
      <w:rFonts w:ascii="Arial" w:eastAsia="Arial" w:hAnsi="Arial" w:cs="Arial"/>
      <w:sz w:val="24"/>
      <w:szCs w:val="24"/>
    </w:rPr>
  </w:style>
  <w:style w:type="character" w:customStyle="1" w:styleId="TextoindependienteCar">
    <w:name w:val="Texto independiente Car"/>
    <w:basedOn w:val="Fuentedeprrafopredeter"/>
    <w:link w:val="Textoindependiente"/>
    <w:uiPriority w:val="1"/>
    <w:rsid w:val="005F0AA8"/>
    <w:rPr>
      <w:rFonts w:ascii="Arial" w:eastAsia="Arial" w:hAnsi="Arial" w:cs="Arial"/>
      <w:sz w:val="24"/>
      <w:szCs w:val="24"/>
    </w:rPr>
  </w:style>
  <w:style w:type="paragraph" w:styleId="Prrafodelista">
    <w:name w:val="List Paragraph"/>
    <w:aliases w:val="Viñetas,VIÑETA"/>
    <w:basedOn w:val="Normal"/>
    <w:link w:val="PrrafodelistaCar"/>
    <w:uiPriority w:val="34"/>
    <w:qFormat/>
    <w:rsid w:val="005F0AA8"/>
    <w:pPr>
      <w:widowControl w:val="0"/>
      <w:spacing w:before="139" w:after="0" w:line="360" w:lineRule="auto"/>
      <w:ind w:left="1473" w:hanging="361"/>
      <w:jc w:val="both"/>
    </w:pPr>
    <w:rPr>
      <w:rFonts w:ascii="Arial" w:eastAsia="Arial" w:hAnsi="Arial" w:cs="Arial"/>
      <w:sz w:val="24"/>
    </w:rPr>
  </w:style>
  <w:style w:type="paragraph" w:customStyle="1" w:styleId="TableParagraph">
    <w:name w:val="Table Paragraph"/>
    <w:basedOn w:val="Normal"/>
    <w:uiPriority w:val="1"/>
    <w:qFormat/>
    <w:rsid w:val="005F0AA8"/>
    <w:pPr>
      <w:widowControl w:val="0"/>
      <w:spacing w:after="0" w:line="360" w:lineRule="auto"/>
      <w:jc w:val="center"/>
    </w:pPr>
    <w:rPr>
      <w:rFonts w:ascii="Arial" w:eastAsia="Arial" w:hAnsi="Arial" w:cs="Arial"/>
      <w:sz w:val="24"/>
    </w:rPr>
  </w:style>
  <w:style w:type="paragraph" w:styleId="TtuloTDC">
    <w:name w:val="TOC Heading"/>
    <w:basedOn w:val="Ttulo1"/>
    <w:next w:val="Normal"/>
    <w:uiPriority w:val="39"/>
    <w:unhideWhenUsed/>
    <w:qFormat/>
    <w:rsid w:val="005F0AA8"/>
    <w:pPr>
      <w:keepNext/>
      <w:keepLines/>
      <w:widowControl/>
      <w:spacing w:before="240" w:line="259" w:lineRule="auto"/>
      <w:ind w:left="0"/>
      <w:outlineLvl w:val="9"/>
    </w:pPr>
    <w:rPr>
      <w:rFonts w:asciiTheme="majorHAnsi" w:eastAsiaTheme="majorEastAsia" w:hAnsiTheme="majorHAnsi" w:cstheme="majorBidi"/>
      <w:color w:val="2F5496" w:themeColor="accent1" w:themeShade="BF"/>
      <w:sz w:val="32"/>
      <w:szCs w:val="32"/>
    </w:rPr>
  </w:style>
  <w:style w:type="character" w:styleId="Hipervnculo">
    <w:name w:val="Hyperlink"/>
    <w:basedOn w:val="Fuentedeprrafopredeter"/>
    <w:uiPriority w:val="99"/>
    <w:unhideWhenUsed/>
    <w:rsid w:val="005F0AA8"/>
    <w:rPr>
      <w:color w:val="0563C1" w:themeColor="hyperlink"/>
      <w:u w:val="single"/>
    </w:rPr>
  </w:style>
  <w:style w:type="paragraph" w:styleId="TDC3">
    <w:name w:val="toc 3"/>
    <w:basedOn w:val="Normal"/>
    <w:next w:val="Normal"/>
    <w:autoRedefine/>
    <w:uiPriority w:val="39"/>
    <w:unhideWhenUsed/>
    <w:rsid w:val="005F0AA8"/>
    <w:pPr>
      <w:tabs>
        <w:tab w:val="right" w:leader="dot" w:pos="9394"/>
      </w:tabs>
      <w:spacing w:after="100"/>
      <w:ind w:left="567" w:hanging="567"/>
      <w:jc w:val="both"/>
    </w:pPr>
    <w:rPr>
      <w:rFonts w:eastAsiaTheme="minorEastAsia" w:cs="Times New Roman"/>
      <w:sz w:val="24"/>
    </w:rPr>
  </w:style>
  <w:style w:type="paragraph" w:styleId="Textodeglobo">
    <w:name w:val="Balloon Text"/>
    <w:basedOn w:val="Normal"/>
    <w:link w:val="TextodegloboCar"/>
    <w:uiPriority w:val="99"/>
    <w:semiHidden/>
    <w:unhideWhenUsed/>
    <w:rsid w:val="005F0AA8"/>
    <w:pPr>
      <w:widowControl w:val="0"/>
      <w:spacing w:after="0" w:line="360" w:lineRule="auto"/>
      <w:jc w:val="both"/>
    </w:pPr>
    <w:rPr>
      <w:rFonts w:ascii="Segoe UI" w:eastAsia="Arial" w:hAnsi="Segoe UI" w:cs="Segoe UI"/>
      <w:sz w:val="18"/>
      <w:szCs w:val="18"/>
    </w:rPr>
  </w:style>
  <w:style w:type="character" w:customStyle="1" w:styleId="TextodegloboCar">
    <w:name w:val="Texto de globo Car"/>
    <w:basedOn w:val="Fuentedeprrafopredeter"/>
    <w:link w:val="Textodeglobo"/>
    <w:uiPriority w:val="99"/>
    <w:semiHidden/>
    <w:rsid w:val="005F0AA8"/>
    <w:rPr>
      <w:rFonts w:ascii="Segoe UI" w:eastAsia="Arial" w:hAnsi="Segoe UI" w:cs="Segoe UI"/>
      <w:sz w:val="18"/>
      <w:szCs w:val="18"/>
    </w:rPr>
  </w:style>
  <w:style w:type="character" w:customStyle="1" w:styleId="TtuloCar">
    <w:name w:val="Título Car"/>
    <w:basedOn w:val="Fuentedeprrafopredeter"/>
    <w:link w:val="Ttulo"/>
    <w:uiPriority w:val="10"/>
    <w:rsid w:val="005F0AA8"/>
    <w:rPr>
      <w:rFonts w:asciiTheme="majorHAnsi" w:eastAsiaTheme="majorEastAsia" w:hAnsiTheme="majorHAnsi" w:cstheme="majorBidi"/>
      <w:color w:val="323E4F" w:themeColor="text2" w:themeShade="BF"/>
      <w:spacing w:val="5"/>
      <w:kern w:val="28"/>
      <w:sz w:val="52"/>
      <w:szCs w:val="52"/>
    </w:rPr>
  </w:style>
  <w:style w:type="paragraph" w:styleId="Textonotapie">
    <w:name w:val="footnote text"/>
    <w:basedOn w:val="Normal"/>
    <w:link w:val="TextonotapieCar"/>
    <w:uiPriority w:val="99"/>
    <w:semiHidden/>
    <w:unhideWhenUsed/>
    <w:rsid w:val="005F0AA8"/>
    <w:pPr>
      <w:spacing w:after="0" w:line="360" w:lineRule="auto"/>
      <w:jc w:val="both"/>
    </w:pPr>
    <w:rPr>
      <w:sz w:val="20"/>
      <w:szCs w:val="20"/>
    </w:rPr>
  </w:style>
  <w:style w:type="character" w:customStyle="1" w:styleId="TextonotapieCar">
    <w:name w:val="Texto nota pie Car"/>
    <w:basedOn w:val="Fuentedeprrafopredeter"/>
    <w:link w:val="Textonotapie"/>
    <w:uiPriority w:val="99"/>
    <w:semiHidden/>
    <w:rsid w:val="005F0AA8"/>
    <w:rPr>
      <w:sz w:val="20"/>
      <w:szCs w:val="20"/>
    </w:rPr>
  </w:style>
  <w:style w:type="character" w:styleId="Refdenotaalpie">
    <w:name w:val="footnote reference"/>
    <w:basedOn w:val="Fuentedeprrafopredeter"/>
    <w:uiPriority w:val="99"/>
    <w:semiHidden/>
    <w:unhideWhenUsed/>
    <w:rsid w:val="005F0AA8"/>
    <w:rPr>
      <w:vertAlign w:val="superscript"/>
    </w:rPr>
  </w:style>
  <w:style w:type="paragraph" w:styleId="Descripcin">
    <w:name w:val="caption"/>
    <w:aliases w:val="Epígrafe"/>
    <w:basedOn w:val="Normal"/>
    <w:next w:val="Normal"/>
    <w:link w:val="DescripcinCar"/>
    <w:uiPriority w:val="35"/>
    <w:qFormat/>
    <w:rsid w:val="00D211AC"/>
    <w:pPr>
      <w:spacing w:after="200" w:line="276" w:lineRule="auto"/>
      <w:jc w:val="both"/>
    </w:pPr>
    <w:rPr>
      <w:rFonts w:ascii="Arial" w:eastAsia="Times New Roman" w:hAnsi="Arial" w:cs="Times New Roman"/>
      <w:b/>
      <w:bCs/>
      <w:sz w:val="16"/>
      <w:szCs w:val="18"/>
      <w:lang w:val="es-ES_tradnl"/>
    </w:rPr>
  </w:style>
  <w:style w:type="character" w:styleId="Textodelmarcadordeposicin">
    <w:name w:val="Placeholder Text"/>
    <w:basedOn w:val="Fuentedeprrafopredeter"/>
    <w:uiPriority w:val="99"/>
    <w:semiHidden/>
    <w:rsid w:val="005F0AA8"/>
    <w:rPr>
      <w:color w:val="808080"/>
    </w:rPr>
  </w:style>
  <w:style w:type="paragraph" w:styleId="Sinespaciado">
    <w:name w:val="No Spacing"/>
    <w:link w:val="SinespaciadoCar"/>
    <w:uiPriority w:val="1"/>
    <w:qFormat/>
    <w:rsid w:val="005F0AA8"/>
    <w:pPr>
      <w:widowControl w:val="0"/>
      <w:spacing w:after="0" w:line="240" w:lineRule="auto"/>
      <w:jc w:val="center"/>
    </w:pPr>
    <w:rPr>
      <w:rFonts w:ascii="Arial" w:eastAsia="Arial" w:hAnsi="Arial" w:cs="Arial"/>
      <w:noProof/>
      <w:sz w:val="18"/>
      <w:szCs w:val="18"/>
    </w:rPr>
  </w:style>
  <w:style w:type="paragraph" w:customStyle="1" w:styleId="Default">
    <w:name w:val="Default"/>
    <w:rsid w:val="005F0AA8"/>
    <w:pPr>
      <w:autoSpaceDE w:val="0"/>
      <w:autoSpaceDN w:val="0"/>
      <w:adjustRightInd w:val="0"/>
      <w:spacing w:after="0" w:line="240" w:lineRule="auto"/>
    </w:pPr>
    <w:rPr>
      <w:rFonts w:ascii="Arial" w:hAnsi="Arial" w:cs="Arial"/>
      <w:color w:val="000000"/>
      <w:sz w:val="24"/>
      <w:szCs w:val="24"/>
    </w:rPr>
  </w:style>
  <w:style w:type="character" w:customStyle="1" w:styleId="SinespaciadoCar">
    <w:name w:val="Sin espaciado Car"/>
    <w:basedOn w:val="Fuentedeprrafopredeter"/>
    <w:link w:val="Sinespaciado"/>
    <w:uiPriority w:val="1"/>
    <w:rsid w:val="005F0AA8"/>
    <w:rPr>
      <w:rFonts w:ascii="Arial" w:eastAsia="Arial" w:hAnsi="Arial" w:cs="Arial"/>
      <w:noProof/>
      <w:sz w:val="18"/>
      <w:szCs w:val="18"/>
    </w:rPr>
  </w:style>
  <w:style w:type="character" w:customStyle="1" w:styleId="DescripcinCar">
    <w:name w:val="Descripción Car"/>
    <w:aliases w:val="Epígrafe Car"/>
    <w:basedOn w:val="Fuentedeprrafopredeter"/>
    <w:link w:val="Descripcin"/>
    <w:uiPriority w:val="35"/>
    <w:rsid w:val="00D211AC"/>
    <w:rPr>
      <w:rFonts w:ascii="Arial" w:eastAsia="Times New Roman" w:hAnsi="Arial" w:cs="Times New Roman"/>
      <w:b/>
      <w:bCs/>
      <w:sz w:val="16"/>
      <w:szCs w:val="18"/>
      <w:lang w:val="es-ES_tradnl"/>
    </w:rPr>
  </w:style>
  <w:style w:type="character" w:styleId="nfasis">
    <w:name w:val="Emphasis"/>
    <w:basedOn w:val="Fuentedeprrafopredeter"/>
    <w:uiPriority w:val="20"/>
    <w:qFormat/>
    <w:rsid w:val="005F0AA8"/>
    <w:rPr>
      <w:rFonts w:ascii="Arial" w:hAnsi="Arial"/>
      <w:b/>
      <w:i/>
      <w:color w:val="auto"/>
      <w:sz w:val="18"/>
    </w:rPr>
  </w:style>
  <w:style w:type="paragraph" w:styleId="Tabladeilustraciones">
    <w:name w:val="table of figures"/>
    <w:basedOn w:val="Normal"/>
    <w:next w:val="Normal"/>
    <w:uiPriority w:val="99"/>
    <w:unhideWhenUsed/>
    <w:rsid w:val="005F0AA8"/>
    <w:pPr>
      <w:widowControl w:val="0"/>
      <w:spacing w:after="0" w:line="360" w:lineRule="auto"/>
      <w:jc w:val="both"/>
    </w:pPr>
    <w:rPr>
      <w:rFonts w:ascii="Arial" w:eastAsia="Arial" w:hAnsi="Arial" w:cs="Arial"/>
      <w:sz w:val="24"/>
    </w:rPr>
  </w:style>
  <w:style w:type="paragraph" w:styleId="Subttulo">
    <w:name w:val="Subtitle"/>
    <w:basedOn w:val="Normal"/>
    <w:next w:val="Normal"/>
    <w:link w:val="SubttuloCar"/>
    <w:uiPriority w:val="11"/>
    <w:qFormat/>
    <w:pPr>
      <w:keepNext/>
      <w:keepLines/>
      <w:widowControl w:val="0"/>
      <w:spacing w:before="360" w:after="80" w:line="360" w:lineRule="auto"/>
      <w:jc w:val="both"/>
    </w:pPr>
    <w:rPr>
      <w:rFonts w:ascii="Georgia" w:eastAsia="Georgia" w:hAnsi="Georgia" w:cs="Georgia"/>
      <w:i/>
      <w:color w:val="666666"/>
      <w:sz w:val="48"/>
      <w:szCs w:val="48"/>
    </w:rPr>
  </w:style>
  <w:style w:type="character" w:customStyle="1" w:styleId="SubttuloCar">
    <w:name w:val="Subtítulo Car"/>
    <w:basedOn w:val="Fuentedeprrafopredeter"/>
    <w:link w:val="Subttulo"/>
    <w:rsid w:val="005F0AA8"/>
    <w:rPr>
      <w:rFonts w:ascii="Georgia" w:eastAsia="Georgia" w:hAnsi="Georgia" w:cs="Georgia"/>
      <w:i/>
      <w:color w:val="666666"/>
      <w:sz w:val="48"/>
      <w:szCs w:val="48"/>
      <w:lang w:eastAsia="es-CO"/>
    </w:rPr>
  </w:style>
  <w:style w:type="table" w:customStyle="1" w:styleId="Tablaconcuadrcula1">
    <w:name w:val="Tabla con cuadrícula1"/>
    <w:basedOn w:val="Tablanormal"/>
    <w:next w:val="Tablaconcuadrcula"/>
    <w:uiPriority w:val="59"/>
    <w:rsid w:val="005F0AA8"/>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Viñetas Car,VIÑETA Car"/>
    <w:basedOn w:val="Fuentedeprrafopredeter"/>
    <w:link w:val="Prrafodelista"/>
    <w:uiPriority w:val="34"/>
    <w:locked/>
    <w:rsid w:val="00CE1934"/>
    <w:rPr>
      <w:rFonts w:ascii="Arial" w:eastAsia="Arial" w:hAnsi="Arial" w:cs="Arial"/>
      <w:sz w:val="24"/>
    </w:rPr>
  </w:style>
  <w:style w:type="paragraph" w:styleId="NormalWeb">
    <w:name w:val="Normal (Web)"/>
    <w:basedOn w:val="Normal"/>
    <w:uiPriority w:val="99"/>
    <w:unhideWhenUsed/>
    <w:rsid w:val="007072D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rPr>
      <w:rFonts w:ascii="Times New Roman" w:eastAsia="Times New Roman" w:hAnsi="Times New Roman" w:cs="Times New Roman"/>
      <w:sz w:val="20"/>
      <w:szCs w:val="20"/>
    </w:rPr>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131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9.jp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jpg"/><Relationship Id="rId19" Type="http://schemas.openxmlformats.org/officeDocument/2006/relationships/image" Target="media/image10.jp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abedoya@iyd.com.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gK31P9uQcfLVt9q1CoNEuEECB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gAciExSTd4SHpsaEZOeGVZQkI1YUZMZWVtNnY3RC1wR2xXb2w=</go:docsCustomData>
</go:gDocsCustomXmlDataStorage>
</file>

<file path=customXml/itemProps1.xml><?xml version="1.0" encoding="utf-8"?>
<ds:datastoreItem xmlns:ds="http://schemas.openxmlformats.org/officeDocument/2006/customXml" ds:itemID="{129CDB10-E057-47BC-A8A9-B88DC810A3D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30</Pages>
  <Words>8075</Words>
  <Characters>44417</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Sthefania Orrego Cardona</dc:creator>
  <cp:lastModifiedBy>IYD OCCIDENTE</cp:lastModifiedBy>
  <cp:revision>5</cp:revision>
  <cp:lastPrinted>2024-09-05T14:28:00Z</cp:lastPrinted>
  <dcterms:created xsi:type="dcterms:W3CDTF">2024-08-30T19:47:00Z</dcterms:created>
  <dcterms:modified xsi:type="dcterms:W3CDTF">2025-01-23T20:37:00Z</dcterms:modified>
</cp:coreProperties>
</file>